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736" w:rsidRPr="00806F17" w:rsidRDefault="00C82736" w:rsidP="00806F17">
      <w:pPr>
        <w:jc w:val="both"/>
        <w:rPr>
          <w:rFonts w:asciiTheme="majorHAnsi" w:hAnsiTheme="majorHAnsi" w:cstheme="majorHAnsi"/>
          <w:b/>
          <w:i/>
          <w:sz w:val="22"/>
          <w:u w:val="single"/>
          <w:lang w:val="de-AT"/>
        </w:rPr>
      </w:pPr>
      <w:r w:rsidRPr="00806F17">
        <w:rPr>
          <w:rFonts w:asciiTheme="majorHAnsi" w:hAnsiTheme="majorHAnsi" w:cstheme="majorHAnsi"/>
          <w:b/>
          <w:i/>
          <w:sz w:val="22"/>
          <w:u w:val="single"/>
          <w:lang w:val="de-AT"/>
        </w:rPr>
        <w:t>Religionsfreiheit als Menschenrecht – Elmar Kuhn</w:t>
      </w:r>
    </w:p>
    <w:p w:rsidR="00CE7815" w:rsidRPr="00806F17" w:rsidRDefault="00CE7815" w:rsidP="00806F17">
      <w:pPr>
        <w:jc w:val="both"/>
        <w:rPr>
          <w:rFonts w:asciiTheme="majorHAnsi" w:hAnsiTheme="majorHAnsi" w:cstheme="majorHAnsi"/>
          <w:sz w:val="22"/>
          <w:lang w:val="de-AT"/>
        </w:rPr>
      </w:pPr>
    </w:p>
    <w:p w:rsidR="006009A0" w:rsidRPr="00806F17" w:rsidRDefault="001D7FEF" w:rsidP="00806F17">
      <w:pPr>
        <w:jc w:val="both"/>
        <w:rPr>
          <w:rFonts w:asciiTheme="majorHAnsi" w:hAnsiTheme="majorHAnsi" w:cstheme="majorHAnsi"/>
          <w:sz w:val="22"/>
          <w:lang w:val="de-AT"/>
        </w:rPr>
      </w:pPr>
      <w:r w:rsidRPr="00806F17">
        <w:rPr>
          <w:rFonts w:asciiTheme="majorHAnsi" w:hAnsiTheme="majorHAnsi" w:cstheme="majorHAnsi"/>
          <w:sz w:val="22"/>
          <w:lang w:val="de-AT"/>
        </w:rPr>
        <w:t xml:space="preserve">Unser heutiger Begriff der Religionsfreiheit als Menschenrecht stützt sich auf die am 10.12.1948 verabschiedete UN-Menschenrechtserklärung. In Artikel 18 steht: Jeder hat das Recht auf Gedanken-, Gewissens- und Religionsfreiheit, und führt aus, dass damit auch das Recht auf den Wechsel der Religion oder Weltanschauung gegeben ist. </w:t>
      </w:r>
    </w:p>
    <w:p w:rsidR="006009A0" w:rsidRPr="00806F17" w:rsidRDefault="001D7FEF" w:rsidP="00806F17">
      <w:pPr>
        <w:jc w:val="both"/>
        <w:rPr>
          <w:rFonts w:asciiTheme="majorHAnsi" w:hAnsiTheme="majorHAnsi" w:cstheme="majorHAnsi"/>
          <w:sz w:val="22"/>
          <w:lang w:val="de-AT"/>
        </w:rPr>
      </w:pPr>
      <w:r w:rsidRPr="00806F17">
        <w:rPr>
          <w:rFonts w:asciiTheme="majorHAnsi" w:hAnsiTheme="majorHAnsi" w:cstheme="majorHAnsi"/>
          <w:sz w:val="22"/>
          <w:lang w:val="de-AT"/>
        </w:rPr>
        <w:t xml:space="preserve">Was sich so einfach in ein paar Sätzen liest ist in Wahrheit der Höhepunkt einer jahrhundertelangen Debatte um die Frage nach dem Recht des </w:t>
      </w:r>
      <w:r w:rsidR="00C82736" w:rsidRPr="00806F17">
        <w:rPr>
          <w:rFonts w:asciiTheme="majorHAnsi" w:hAnsiTheme="majorHAnsi" w:cstheme="majorHAnsi"/>
          <w:sz w:val="22"/>
          <w:lang w:val="de-AT"/>
        </w:rPr>
        <w:t>Individuums</w:t>
      </w:r>
      <w:r w:rsidRPr="00806F17">
        <w:rPr>
          <w:rFonts w:asciiTheme="majorHAnsi" w:hAnsiTheme="majorHAnsi" w:cstheme="majorHAnsi"/>
          <w:sz w:val="22"/>
          <w:lang w:val="de-AT"/>
        </w:rPr>
        <w:t xml:space="preserve"> in der Gesellschaft. Durch einen langen Lernprozess hindurch, in Europa getränkt vom Blut der Opfer des 30jährigen Krieges, zweier Weltkriege und des Holocausts, philosophisch erstritten durch Aufklärung, Säkularisierung und Toleranzgedanken, hat dieser Prozess zur Herausbildung der weltanschaulichen neutralen Demokratien geführt. Die Kirchen, natürlich auch und besonders die römisch-katholische Kirche, haben bis </w:t>
      </w:r>
      <w:r w:rsidR="00CE7815" w:rsidRPr="00806F17">
        <w:rPr>
          <w:rFonts w:asciiTheme="majorHAnsi" w:hAnsiTheme="majorHAnsi" w:cstheme="majorHAnsi"/>
          <w:sz w:val="22"/>
          <w:lang w:val="de-AT"/>
        </w:rPr>
        <w:t>in die jüngste Vergangenheit massive Probleme mit der Religionsfreiheit gehabt.</w:t>
      </w:r>
      <w:r w:rsidRPr="00806F17">
        <w:rPr>
          <w:rFonts w:asciiTheme="majorHAnsi" w:hAnsiTheme="majorHAnsi" w:cstheme="majorHAnsi"/>
          <w:sz w:val="22"/>
          <w:lang w:val="de-AT"/>
        </w:rPr>
        <w:t xml:space="preserve"> </w:t>
      </w:r>
      <w:r w:rsidR="00CE7815" w:rsidRPr="00806F17">
        <w:rPr>
          <w:rFonts w:asciiTheme="majorHAnsi" w:hAnsiTheme="majorHAnsi" w:cstheme="majorHAnsi"/>
          <w:sz w:val="22"/>
          <w:lang w:val="de-AT"/>
        </w:rPr>
        <w:t xml:space="preserve">Auch </w:t>
      </w:r>
      <w:r w:rsidRPr="00806F17">
        <w:rPr>
          <w:rFonts w:asciiTheme="majorHAnsi" w:hAnsiTheme="majorHAnsi" w:cstheme="majorHAnsi"/>
          <w:sz w:val="22"/>
          <w:lang w:val="de-AT"/>
        </w:rPr>
        <w:t>50 Jahre nach seiner Verabschiedung</w:t>
      </w:r>
      <w:r w:rsidR="00CE7815" w:rsidRPr="00806F17">
        <w:rPr>
          <w:rFonts w:asciiTheme="majorHAnsi" w:hAnsiTheme="majorHAnsi" w:cstheme="majorHAnsi"/>
          <w:sz w:val="22"/>
          <w:lang w:val="de-AT"/>
        </w:rPr>
        <w:t xml:space="preserve"> ist das</w:t>
      </w:r>
      <w:r w:rsidRPr="00806F17">
        <w:rPr>
          <w:rFonts w:asciiTheme="majorHAnsi" w:hAnsiTheme="majorHAnsi" w:cstheme="majorHAnsi"/>
          <w:sz w:val="22"/>
          <w:lang w:val="de-AT"/>
        </w:rPr>
        <w:t xml:space="preserve"> Konzilsdokument </w:t>
      </w:r>
      <w:proofErr w:type="spellStart"/>
      <w:r w:rsidRPr="00806F17">
        <w:rPr>
          <w:rFonts w:asciiTheme="majorHAnsi" w:hAnsiTheme="majorHAnsi" w:cstheme="majorHAnsi"/>
          <w:sz w:val="22"/>
          <w:lang w:val="de-AT"/>
        </w:rPr>
        <w:t>Dignitatis</w:t>
      </w:r>
      <w:proofErr w:type="spellEnd"/>
      <w:r w:rsidRPr="00806F17">
        <w:rPr>
          <w:rFonts w:asciiTheme="majorHAnsi" w:hAnsiTheme="majorHAnsi" w:cstheme="majorHAnsi"/>
          <w:sz w:val="22"/>
          <w:lang w:val="de-AT"/>
        </w:rPr>
        <w:t xml:space="preserve"> </w:t>
      </w:r>
      <w:proofErr w:type="spellStart"/>
      <w:r w:rsidRPr="00806F17">
        <w:rPr>
          <w:rFonts w:asciiTheme="majorHAnsi" w:hAnsiTheme="majorHAnsi" w:cstheme="majorHAnsi"/>
          <w:sz w:val="22"/>
          <w:lang w:val="de-AT"/>
        </w:rPr>
        <w:t>Humanae</w:t>
      </w:r>
      <w:proofErr w:type="spellEnd"/>
      <w:r w:rsidRPr="00806F17">
        <w:rPr>
          <w:rFonts w:asciiTheme="majorHAnsi" w:hAnsiTheme="majorHAnsi" w:cstheme="majorHAnsi"/>
          <w:sz w:val="22"/>
          <w:lang w:val="de-AT"/>
        </w:rPr>
        <w:t xml:space="preserve"> </w:t>
      </w:r>
      <w:r w:rsidR="00CE7815" w:rsidRPr="00806F17">
        <w:rPr>
          <w:rFonts w:asciiTheme="majorHAnsi" w:hAnsiTheme="majorHAnsi" w:cstheme="majorHAnsi"/>
          <w:sz w:val="22"/>
          <w:lang w:val="de-AT"/>
        </w:rPr>
        <w:t xml:space="preserve">über die Religionsfreiheit heftig umstrittenen. </w:t>
      </w:r>
      <w:r w:rsidRPr="00806F17">
        <w:rPr>
          <w:rFonts w:asciiTheme="majorHAnsi" w:hAnsiTheme="majorHAnsi" w:cstheme="majorHAnsi"/>
          <w:sz w:val="22"/>
          <w:lang w:val="de-AT"/>
        </w:rPr>
        <w:t xml:space="preserve">Unvergessen der späte Augustinus mit seinem Gedanken des </w:t>
      </w:r>
      <w:proofErr w:type="spellStart"/>
      <w:r w:rsidRPr="00806F17">
        <w:rPr>
          <w:rFonts w:asciiTheme="majorHAnsi" w:hAnsiTheme="majorHAnsi" w:cstheme="majorHAnsi"/>
          <w:sz w:val="22"/>
          <w:lang w:val="de-AT"/>
        </w:rPr>
        <w:t>compelle</w:t>
      </w:r>
      <w:proofErr w:type="spellEnd"/>
      <w:r w:rsidRPr="00806F17">
        <w:rPr>
          <w:rFonts w:asciiTheme="majorHAnsi" w:hAnsiTheme="majorHAnsi" w:cstheme="majorHAnsi"/>
          <w:sz w:val="22"/>
          <w:lang w:val="de-AT"/>
        </w:rPr>
        <w:t xml:space="preserve"> </w:t>
      </w:r>
      <w:proofErr w:type="spellStart"/>
      <w:r w:rsidRPr="00806F17">
        <w:rPr>
          <w:rFonts w:asciiTheme="majorHAnsi" w:hAnsiTheme="majorHAnsi" w:cstheme="majorHAnsi"/>
          <w:sz w:val="22"/>
          <w:lang w:val="de-AT"/>
        </w:rPr>
        <w:t>intrare</w:t>
      </w:r>
      <w:proofErr w:type="spellEnd"/>
      <w:r w:rsidRPr="00806F17">
        <w:rPr>
          <w:rFonts w:asciiTheme="majorHAnsi" w:hAnsiTheme="majorHAnsi" w:cstheme="majorHAnsi"/>
          <w:sz w:val="22"/>
          <w:lang w:val="de-AT"/>
        </w:rPr>
        <w:t xml:space="preserve"> (Nötige sie (in die Kirche) einzutreten, u.a. in De </w:t>
      </w:r>
      <w:proofErr w:type="spellStart"/>
      <w:r w:rsidRPr="00806F17">
        <w:rPr>
          <w:rFonts w:asciiTheme="majorHAnsi" w:hAnsiTheme="majorHAnsi" w:cstheme="majorHAnsi"/>
          <w:sz w:val="22"/>
          <w:lang w:val="de-AT"/>
        </w:rPr>
        <w:t>correctione</w:t>
      </w:r>
      <w:proofErr w:type="spellEnd"/>
      <w:r w:rsidRPr="00806F17">
        <w:rPr>
          <w:rFonts w:asciiTheme="majorHAnsi" w:hAnsiTheme="majorHAnsi" w:cstheme="majorHAnsi"/>
          <w:sz w:val="22"/>
          <w:lang w:val="de-AT"/>
        </w:rPr>
        <w:t xml:space="preserve"> </w:t>
      </w:r>
      <w:proofErr w:type="spellStart"/>
      <w:r w:rsidRPr="00806F17">
        <w:rPr>
          <w:rFonts w:asciiTheme="majorHAnsi" w:hAnsiTheme="majorHAnsi" w:cstheme="majorHAnsi"/>
          <w:sz w:val="22"/>
          <w:lang w:val="de-AT"/>
        </w:rPr>
        <w:t>Donatistarum</w:t>
      </w:r>
      <w:proofErr w:type="spellEnd"/>
      <w:r w:rsidRPr="00806F17">
        <w:rPr>
          <w:rFonts w:asciiTheme="majorHAnsi" w:hAnsiTheme="majorHAnsi" w:cstheme="majorHAnsi"/>
          <w:sz w:val="22"/>
          <w:lang w:val="de-AT"/>
        </w:rPr>
        <w:t xml:space="preserve">), das von </w:t>
      </w:r>
      <w:r w:rsidR="00CE7815" w:rsidRPr="00806F17">
        <w:rPr>
          <w:rFonts w:asciiTheme="majorHAnsi" w:hAnsiTheme="majorHAnsi" w:cstheme="majorHAnsi"/>
          <w:sz w:val="22"/>
          <w:lang w:val="de-AT"/>
        </w:rPr>
        <w:t xml:space="preserve">Bischof </w:t>
      </w:r>
      <w:proofErr w:type="spellStart"/>
      <w:r w:rsidRPr="00806F17">
        <w:rPr>
          <w:rFonts w:asciiTheme="majorHAnsi" w:hAnsiTheme="majorHAnsi" w:cstheme="majorHAnsi"/>
          <w:sz w:val="22"/>
          <w:lang w:val="de-AT"/>
        </w:rPr>
        <w:t>Fulgentius</w:t>
      </w:r>
      <w:proofErr w:type="spellEnd"/>
      <w:r w:rsidRPr="00806F17">
        <w:rPr>
          <w:rFonts w:asciiTheme="majorHAnsi" w:hAnsiTheme="majorHAnsi" w:cstheme="majorHAnsi"/>
          <w:sz w:val="22"/>
          <w:lang w:val="de-AT"/>
        </w:rPr>
        <w:t xml:space="preserve"> von </w:t>
      </w:r>
      <w:proofErr w:type="spellStart"/>
      <w:r w:rsidRPr="00806F17">
        <w:rPr>
          <w:rFonts w:asciiTheme="majorHAnsi" w:hAnsiTheme="majorHAnsi" w:cstheme="majorHAnsi"/>
          <w:sz w:val="22"/>
          <w:lang w:val="de-AT"/>
        </w:rPr>
        <w:t>Ruspe</w:t>
      </w:r>
      <w:proofErr w:type="spellEnd"/>
      <w:r w:rsidR="0009133E" w:rsidRPr="00806F17">
        <w:rPr>
          <w:rFonts w:asciiTheme="majorHAnsi" w:hAnsiTheme="majorHAnsi" w:cstheme="majorHAnsi"/>
          <w:sz w:val="22"/>
          <w:lang w:val="de-AT"/>
        </w:rPr>
        <w:t xml:space="preserve"> (+533)</w:t>
      </w:r>
      <w:r w:rsidRPr="00806F17">
        <w:rPr>
          <w:rFonts w:asciiTheme="majorHAnsi" w:hAnsiTheme="majorHAnsi" w:cstheme="majorHAnsi"/>
          <w:sz w:val="22"/>
          <w:lang w:val="de-AT"/>
        </w:rPr>
        <w:t xml:space="preserve"> aufgegriffen wurde und in der Ketzerverfolgung des Mittelalters furchtbare Konsequenzen gezeigt hatte.</w:t>
      </w:r>
    </w:p>
    <w:p w:rsidR="006009A0" w:rsidRPr="00806F17" w:rsidRDefault="006009A0" w:rsidP="00806F17">
      <w:pPr>
        <w:jc w:val="both"/>
        <w:rPr>
          <w:rFonts w:asciiTheme="majorHAnsi" w:hAnsiTheme="majorHAnsi" w:cstheme="majorHAnsi"/>
          <w:sz w:val="22"/>
          <w:lang w:val="de-AT"/>
        </w:rPr>
      </w:pPr>
    </w:p>
    <w:p w:rsidR="006009A0" w:rsidRPr="00806F17" w:rsidRDefault="001D7FEF" w:rsidP="00806F17">
      <w:pPr>
        <w:jc w:val="both"/>
        <w:rPr>
          <w:rFonts w:asciiTheme="majorHAnsi" w:hAnsiTheme="majorHAnsi" w:cstheme="majorHAnsi"/>
          <w:sz w:val="22"/>
          <w:lang w:val="de-AT"/>
        </w:rPr>
      </w:pPr>
      <w:r w:rsidRPr="00806F17">
        <w:rPr>
          <w:rFonts w:asciiTheme="majorHAnsi" w:hAnsiTheme="majorHAnsi" w:cstheme="majorHAnsi"/>
          <w:sz w:val="22"/>
          <w:lang w:val="de-AT"/>
        </w:rPr>
        <w:t xml:space="preserve">Die hohe und höchste Wertschätzung des einzelnen in seiner Entscheidung vor Gott findet sich jedoch bereits in der Verkündigung Jesu, dessen Willen zu erfüllen die Kirche und unsere Gesellschaft noch immer und wohl auch bis zu seiner Wiederkunft anstehen. Thomas von Aquin hat - </w:t>
      </w:r>
      <w:r w:rsidR="00C82736" w:rsidRPr="00806F17">
        <w:rPr>
          <w:rFonts w:asciiTheme="majorHAnsi" w:hAnsiTheme="majorHAnsi" w:cstheme="majorHAnsi"/>
          <w:sz w:val="22"/>
          <w:lang w:val="de-AT"/>
        </w:rPr>
        <w:t>beeinflusst</w:t>
      </w:r>
      <w:r w:rsidRPr="00806F17">
        <w:rPr>
          <w:rFonts w:asciiTheme="majorHAnsi" w:hAnsiTheme="majorHAnsi" w:cstheme="majorHAnsi"/>
          <w:sz w:val="22"/>
          <w:lang w:val="de-AT"/>
        </w:rPr>
        <w:t xml:space="preserve"> von der Ethik des Aristoteles - die Würde des irrenden Gewissens theologisch begründet und damit den Weg für die Sichtweise einer individuellen Religionsfreiheit zumindest in nuce angedacht. Sowohl die individuelle als auch die kollektive Religionsfreiheit, also die Rechte des einzelnen und die Rechte der religiösen Gemeinschaften, </w:t>
      </w:r>
      <w:r w:rsidR="00C82736" w:rsidRPr="00806F17">
        <w:rPr>
          <w:rFonts w:asciiTheme="majorHAnsi" w:hAnsiTheme="majorHAnsi" w:cstheme="majorHAnsi"/>
          <w:sz w:val="22"/>
          <w:lang w:val="de-AT"/>
        </w:rPr>
        <w:t>fußen</w:t>
      </w:r>
      <w:r w:rsidRPr="00806F17">
        <w:rPr>
          <w:rFonts w:asciiTheme="majorHAnsi" w:hAnsiTheme="majorHAnsi" w:cstheme="majorHAnsi"/>
          <w:sz w:val="22"/>
          <w:lang w:val="de-AT"/>
        </w:rPr>
        <w:t xml:space="preserve"> auf dem Grund unserer Gewissensfreiheit. Dass damit auch der Austritt aus einer Gemeinschaft frei und ungebunden möglich sein muss ist eine logische Hochforderung, die die UN-Menschenrech</w:t>
      </w:r>
      <w:r w:rsidR="00C82736" w:rsidRPr="00806F17">
        <w:rPr>
          <w:rFonts w:asciiTheme="majorHAnsi" w:hAnsiTheme="majorHAnsi" w:cstheme="majorHAnsi"/>
          <w:sz w:val="22"/>
          <w:lang w:val="de-AT"/>
        </w:rPr>
        <w:t>ts</w:t>
      </w:r>
      <w:r w:rsidRPr="00806F17">
        <w:rPr>
          <w:rFonts w:asciiTheme="majorHAnsi" w:hAnsiTheme="majorHAnsi" w:cstheme="majorHAnsi"/>
          <w:sz w:val="22"/>
          <w:lang w:val="de-AT"/>
        </w:rPr>
        <w:t xml:space="preserve">erklärung weltweit zu verankern suchte. Getreu der europäischen Geistesgeschichte ist diese höchste Form der Religionsfreiheit mit allen ihren zuvor geltenden Maximen der freien Religionsausübung, des Schutzes vor Diskriminierung und Blasphemie und der öffentlichen Praxis (etwa in Fronleichnamsprozessionen) philosophisch für jeden Menschen erklärbar und logisch einsichtig. </w:t>
      </w:r>
    </w:p>
    <w:p w:rsidR="006009A0" w:rsidRPr="00806F17" w:rsidRDefault="006009A0" w:rsidP="00806F17">
      <w:pPr>
        <w:jc w:val="both"/>
        <w:rPr>
          <w:rFonts w:asciiTheme="majorHAnsi" w:hAnsiTheme="majorHAnsi" w:cstheme="majorHAnsi"/>
          <w:sz w:val="22"/>
          <w:lang w:val="de-AT"/>
        </w:rPr>
      </w:pPr>
    </w:p>
    <w:p w:rsidR="006009A0" w:rsidRPr="00806F17" w:rsidRDefault="001D7FEF" w:rsidP="00806F17">
      <w:pPr>
        <w:jc w:val="both"/>
        <w:rPr>
          <w:rFonts w:asciiTheme="majorHAnsi" w:hAnsiTheme="majorHAnsi" w:cstheme="majorHAnsi"/>
          <w:sz w:val="22"/>
          <w:lang w:val="de-AT"/>
        </w:rPr>
      </w:pPr>
      <w:r w:rsidRPr="00806F17">
        <w:rPr>
          <w:rFonts w:asciiTheme="majorHAnsi" w:hAnsiTheme="majorHAnsi" w:cstheme="majorHAnsi"/>
          <w:sz w:val="22"/>
          <w:lang w:val="de-AT"/>
        </w:rPr>
        <w:t xml:space="preserve">Für Papst Benedikt XVI. ist, so formuliert er es in seiner Botschaft zum Weltfriedenstag am 1.1.2011, die Religionsfreiheit der Ausgangspunkt der moralischen Freiheit und ein Weg für den Frieden. </w:t>
      </w:r>
    </w:p>
    <w:p w:rsidR="006009A0" w:rsidRPr="00806F17" w:rsidRDefault="006009A0" w:rsidP="00806F17">
      <w:pPr>
        <w:jc w:val="both"/>
        <w:rPr>
          <w:rFonts w:asciiTheme="majorHAnsi" w:hAnsiTheme="majorHAnsi" w:cstheme="majorHAnsi"/>
          <w:sz w:val="22"/>
          <w:lang w:val="de-AT"/>
        </w:rPr>
      </w:pPr>
    </w:p>
    <w:p w:rsidR="00CE7815" w:rsidRPr="00806F17" w:rsidRDefault="001D7FEF" w:rsidP="00806F17">
      <w:pPr>
        <w:jc w:val="both"/>
        <w:rPr>
          <w:rFonts w:asciiTheme="majorHAnsi" w:hAnsiTheme="majorHAnsi" w:cstheme="majorHAnsi"/>
          <w:sz w:val="22"/>
          <w:lang w:val="de-AT"/>
        </w:rPr>
      </w:pPr>
      <w:r w:rsidRPr="00806F17">
        <w:rPr>
          <w:rFonts w:asciiTheme="majorHAnsi" w:hAnsiTheme="majorHAnsi" w:cstheme="majorHAnsi"/>
          <w:sz w:val="22"/>
          <w:lang w:val="de-AT"/>
        </w:rPr>
        <w:t xml:space="preserve">In unserer säkularen Gesellschaft gehen wir sogar noch einen, allerdings in meiner </w:t>
      </w:r>
      <w:r w:rsidR="00C82736" w:rsidRPr="00806F17">
        <w:rPr>
          <w:rFonts w:asciiTheme="majorHAnsi" w:hAnsiTheme="majorHAnsi" w:cstheme="majorHAnsi"/>
          <w:sz w:val="22"/>
          <w:lang w:val="de-AT"/>
        </w:rPr>
        <w:t>Sichtweise</w:t>
      </w:r>
      <w:r w:rsidRPr="00806F17">
        <w:rPr>
          <w:rFonts w:asciiTheme="majorHAnsi" w:hAnsiTheme="majorHAnsi" w:cstheme="majorHAnsi"/>
          <w:sz w:val="22"/>
          <w:lang w:val="de-AT"/>
        </w:rPr>
        <w:t xml:space="preserve"> pervertierenden, Schritt weiter mit der Forderung nicht nur einer positiven, also die Ausübung betreffenden, Religionsfreiheit. </w:t>
      </w:r>
    </w:p>
    <w:p w:rsidR="00CE7815" w:rsidRPr="00806F17" w:rsidRDefault="00CE7815" w:rsidP="00806F17">
      <w:pPr>
        <w:jc w:val="both"/>
        <w:rPr>
          <w:rFonts w:asciiTheme="majorHAnsi" w:hAnsiTheme="majorHAnsi" w:cstheme="majorHAnsi"/>
          <w:sz w:val="22"/>
          <w:lang w:val="de-AT"/>
        </w:rPr>
      </w:pPr>
    </w:p>
    <w:p w:rsidR="00CE7815" w:rsidRPr="00806F17" w:rsidRDefault="001D7FEF" w:rsidP="00806F17">
      <w:pPr>
        <w:jc w:val="both"/>
        <w:rPr>
          <w:rFonts w:asciiTheme="majorHAnsi" w:hAnsiTheme="majorHAnsi" w:cstheme="majorHAnsi"/>
          <w:sz w:val="22"/>
          <w:lang w:val="de-AT"/>
        </w:rPr>
      </w:pPr>
      <w:r w:rsidRPr="00806F17">
        <w:rPr>
          <w:rFonts w:asciiTheme="majorHAnsi" w:hAnsiTheme="majorHAnsi" w:cstheme="majorHAnsi"/>
          <w:sz w:val="22"/>
          <w:lang w:val="de-AT"/>
        </w:rPr>
        <w:t xml:space="preserve">Bis vor den höchsten europäischen Gerichtshof ist die Debatte gegangen, ob einem Schulkind in der Schule der Anblick eines Kreuzes mit seiner </w:t>
      </w:r>
      <w:r w:rsidR="00CE7815" w:rsidRPr="00806F17">
        <w:rPr>
          <w:rFonts w:asciiTheme="majorHAnsi" w:hAnsiTheme="majorHAnsi" w:cstheme="majorHAnsi"/>
          <w:sz w:val="22"/>
          <w:lang w:val="de-AT"/>
        </w:rPr>
        <w:t>Darstellung eines grausa</w:t>
      </w:r>
      <w:r w:rsidRPr="00806F17">
        <w:rPr>
          <w:rFonts w:asciiTheme="majorHAnsi" w:hAnsiTheme="majorHAnsi" w:cstheme="majorHAnsi"/>
          <w:sz w:val="22"/>
          <w:lang w:val="de-AT"/>
        </w:rPr>
        <w:t xml:space="preserve">m </w:t>
      </w:r>
      <w:r w:rsidR="00C82736" w:rsidRPr="00806F17">
        <w:rPr>
          <w:rFonts w:asciiTheme="majorHAnsi" w:hAnsiTheme="majorHAnsi" w:cstheme="majorHAnsi"/>
          <w:sz w:val="22"/>
          <w:lang w:val="de-AT"/>
        </w:rPr>
        <w:t>gekreuzigten</w:t>
      </w:r>
      <w:r w:rsidR="00CE7815" w:rsidRPr="00806F17">
        <w:rPr>
          <w:rFonts w:asciiTheme="majorHAnsi" w:hAnsiTheme="majorHAnsi" w:cstheme="majorHAnsi"/>
          <w:sz w:val="22"/>
          <w:lang w:val="de-AT"/>
        </w:rPr>
        <w:t xml:space="preserve"> Menschen</w:t>
      </w:r>
      <w:r w:rsidRPr="00806F17">
        <w:rPr>
          <w:rFonts w:asciiTheme="majorHAnsi" w:hAnsiTheme="majorHAnsi" w:cstheme="majorHAnsi"/>
          <w:sz w:val="22"/>
          <w:lang w:val="de-AT"/>
        </w:rPr>
        <w:t xml:space="preserve"> überhaupt zugemutet werden darf. </w:t>
      </w:r>
      <w:r w:rsidR="00C82736" w:rsidRPr="00806F17">
        <w:rPr>
          <w:rFonts w:asciiTheme="majorHAnsi" w:hAnsiTheme="majorHAnsi" w:cstheme="majorHAnsi"/>
          <w:sz w:val="22"/>
          <w:lang w:val="de-AT"/>
        </w:rPr>
        <w:t>Diese</w:t>
      </w:r>
      <w:r w:rsidRPr="00806F17">
        <w:rPr>
          <w:rFonts w:asciiTheme="majorHAnsi" w:hAnsiTheme="majorHAnsi" w:cstheme="majorHAnsi"/>
          <w:sz w:val="22"/>
          <w:lang w:val="de-AT"/>
        </w:rPr>
        <w:t xml:space="preserve"> 'negative' Religionsfreiheit besteht aus den vier Teilkomponenten der negativen </w:t>
      </w:r>
    </w:p>
    <w:p w:rsidR="00CE7815" w:rsidRPr="00806F17" w:rsidRDefault="001D7FEF" w:rsidP="00806F17">
      <w:pPr>
        <w:pStyle w:val="Listenabsatz"/>
        <w:numPr>
          <w:ilvl w:val="0"/>
          <w:numId w:val="1"/>
        </w:numPr>
        <w:jc w:val="both"/>
        <w:rPr>
          <w:rFonts w:asciiTheme="majorHAnsi" w:hAnsiTheme="majorHAnsi" w:cstheme="majorHAnsi"/>
          <w:sz w:val="22"/>
          <w:lang w:val="de-AT"/>
        </w:rPr>
      </w:pPr>
      <w:r w:rsidRPr="00806F17">
        <w:rPr>
          <w:rFonts w:asciiTheme="majorHAnsi" w:hAnsiTheme="majorHAnsi" w:cstheme="majorHAnsi"/>
          <w:sz w:val="22"/>
          <w:lang w:val="de-AT"/>
        </w:rPr>
        <w:t xml:space="preserve">Glaubens-, </w:t>
      </w:r>
    </w:p>
    <w:p w:rsidR="00CE7815" w:rsidRPr="00806F17" w:rsidRDefault="001D7FEF" w:rsidP="00806F17">
      <w:pPr>
        <w:pStyle w:val="Listenabsatz"/>
        <w:numPr>
          <w:ilvl w:val="0"/>
          <w:numId w:val="1"/>
        </w:numPr>
        <w:jc w:val="both"/>
        <w:rPr>
          <w:rFonts w:asciiTheme="majorHAnsi" w:hAnsiTheme="majorHAnsi" w:cstheme="majorHAnsi"/>
          <w:sz w:val="22"/>
          <w:lang w:val="de-AT"/>
        </w:rPr>
      </w:pPr>
      <w:r w:rsidRPr="00806F17">
        <w:rPr>
          <w:rFonts w:asciiTheme="majorHAnsi" w:hAnsiTheme="majorHAnsi" w:cstheme="majorHAnsi"/>
          <w:sz w:val="22"/>
          <w:lang w:val="de-AT"/>
        </w:rPr>
        <w:t xml:space="preserve">Religionsausübungs-, </w:t>
      </w:r>
    </w:p>
    <w:p w:rsidR="00CE7815" w:rsidRPr="00806F17" w:rsidRDefault="001D7FEF" w:rsidP="00806F17">
      <w:pPr>
        <w:pStyle w:val="Listenabsatz"/>
        <w:numPr>
          <w:ilvl w:val="0"/>
          <w:numId w:val="1"/>
        </w:numPr>
        <w:jc w:val="both"/>
        <w:rPr>
          <w:rFonts w:asciiTheme="majorHAnsi" w:hAnsiTheme="majorHAnsi" w:cstheme="majorHAnsi"/>
          <w:sz w:val="22"/>
          <w:lang w:val="de-AT"/>
        </w:rPr>
      </w:pPr>
      <w:r w:rsidRPr="00806F17">
        <w:rPr>
          <w:rFonts w:asciiTheme="majorHAnsi" w:hAnsiTheme="majorHAnsi" w:cstheme="majorHAnsi"/>
          <w:sz w:val="22"/>
          <w:lang w:val="de-AT"/>
        </w:rPr>
        <w:t xml:space="preserve">Bekenntnis- und </w:t>
      </w:r>
    </w:p>
    <w:p w:rsidR="00CE7815" w:rsidRPr="00806F17" w:rsidRDefault="001D7FEF" w:rsidP="00806F17">
      <w:pPr>
        <w:pStyle w:val="Listenabsatz"/>
        <w:numPr>
          <w:ilvl w:val="0"/>
          <w:numId w:val="1"/>
        </w:numPr>
        <w:jc w:val="both"/>
        <w:rPr>
          <w:rFonts w:asciiTheme="majorHAnsi" w:hAnsiTheme="majorHAnsi" w:cstheme="majorHAnsi"/>
          <w:sz w:val="22"/>
          <w:lang w:val="de-AT"/>
        </w:rPr>
      </w:pPr>
      <w:r w:rsidRPr="00806F17">
        <w:rPr>
          <w:rFonts w:asciiTheme="majorHAnsi" w:hAnsiTheme="majorHAnsi" w:cstheme="majorHAnsi"/>
          <w:sz w:val="22"/>
          <w:lang w:val="de-AT"/>
        </w:rPr>
        <w:t xml:space="preserve">Gewissensfreiheit. </w:t>
      </w:r>
    </w:p>
    <w:p w:rsidR="006009A0" w:rsidRPr="00806F17" w:rsidRDefault="001D7FEF" w:rsidP="00806F17">
      <w:pPr>
        <w:jc w:val="both"/>
        <w:rPr>
          <w:rFonts w:asciiTheme="majorHAnsi" w:hAnsiTheme="majorHAnsi" w:cstheme="majorHAnsi"/>
          <w:sz w:val="22"/>
          <w:lang w:val="de-AT"/>
        </w:rPr>
      </w:pPr>
      <w:r w:rsidRPr="00806F17">
        <w:rPr>
          <w:rFonts w:asciiTheme="majorHAnsi" w:hAnsiTheme="majorHAnsi" w:cstheme="majorHAnsi"/>
          <w:sz w:val="22"/>
          <w:lang w:val="de-AT"/>
        </w:rPr>
        <w:t xml:space="preserve">So wichtig die negative Bekenntnisfreiheit ist, bei der es darum geht, seine Überzeugungen nicht darlegen zu müssen </w:t>
      </w:r>
      <w:r w:rsidR="00CE7815" w:rsidRPr="00806F17">
        <w:rPr>
          <w:rFonts w:asciiTheme="majorHAnsi" w:hAnsiTheme="majorHAnsi" w:cstheme="majorHAnsi"/>
          <w:sz w:val="22"/>
          <w:lang w:val="de-AT"/>
        </w:rPr>
        <w:t xml:space="preserve">– </w:t>
      </w:r>
      <w:r w:rsidRPr="00806F17">
        <w:rPr>
          <w:rFonts w:asciiTheme="majorHAnsi" w:hAnsiTheme="majorHAnsi" w:cstheme="majorHAnsi"/>
          <w:sz w:val="22"/>
          <w:lang w:val="de-AT"/>
        </w:rPr>
        <w:t xml:space="preserve">Beispiele sind etwa der Judenstern im Naziregime oder die Vermerke für </w:t>
      </w:r>
      <w:r w:rsidRPr="00806F17">
        <w:rPr>
          <w:rFonts w:asciiTheme="majorHAnsi" w:hAnsiTheme="majorHAnsi" w:cstheme="majorHAnsi"/>
          <w:sz w:val="22"/>
          <w:lang w:val="de-AT"/>
        </w:rPr>
        <w:lastRenderedPageBreak/>
        <w:t xml:space="preserve">Angehörige der Bahai-Religion im </w:t>
      </w:r>
      <w:r w:rsidR="00CE7815" w:rsidRPr="00806F17">
        <w:rPr>
          <w:rFonts w:asciiTheme="majorHAnsi" w:hAnsiTheme="majorHAnsi" w:cstheme="majorHAnsi"/>
          <w:sz w:val="22"/>
          <w:lang w:val="de-AT"/>
        </w:rPr>
        <w:t xml:space="preserve">heutigen </w:t>
      </w:r>
      <w:r w:rsidRPr="00806F17">
        <w:rPr>
          <w:rFonts w:asciiTheme="majorHAnsi" w:hAnsiTheme="majorHAnsi" w:cstheme="majorHAnsi"/>
          <w:sz w:val="22"/>
          <w:lang w:val="de-AT"/>
        </w:rPr>
        <w:t xml:space="preserve">Iran – so problematisch kann die ungezügelte Ausübung des Rechts auf die negative Religionsausübungsfreiheit werden. In ihr wird das Recht auf einen religionsfreien Raum in allen öffentlichen Gebäuden und Plätzen gefordert. In letzter Konsequenz heißt das nicht nur die Verbannung religiöser Symbole aus Schulen und von unseren </w:t>
      </w:r>
      <w:r w:rsidR="00C82736" w:rsidRPr="00806F17">
        <w:rPr>
          <w:rFonts w:asciiTheme="majorHAnsi" w:hAnsiTheme="majorHAnsi" w:cstheme="majorHAnsi"/>
          <w:sz w:val="22"/>
          <w:lang w:val="de-AT"/>
        </w:rPr>
        <w:t>Straßen</w:t>
      </w:r>
      <w:r w:rsidRPr="00806F17">
        <w:rPr>
          <w:rFonts w:asciiTheme="majorHAnsi" w:hAnsiTheme="majorHAnsi" w:cstheme="majorHAnsi"/>
          <w:sz w:val="22"/>
          <w:lang w:val="de-AT"/>
        </w:rPr>
        <w:t>, sondern auch die Entfernung von allen religiöse</w:t>
      </w:r>
      <w:r w:rsidR="00CE7815" w:rsidRPr="00806F17">
        <w:rPr>
          <w:rFonts w:asciiTheme="majorHAnsi" w:hAnsiTheme="majorHAnsi" w:cstheme="majorHAnsi"/>
          <w:sz w:val="22"/>
          <w:lang w:val="de-AT"/>
        </w:rPr>
        <w:t>n</w:t>
      </w:r>
      <w:r w:rsidRPr="00806F17">
        <w:rPr>
          <w:rFonts w:asciiTheme="majorHAnsi" w:hAnsiTheme="majorHAnsi" w:cstheme="majorHAnsi"/>
          <w:sz w:val="22"/>
          <w:lang w:val="de-AT"/>
        </w:rPr>
        <w:t xml:space="preserve"> Zeichen aus dem Stadtbild - also die Entfernung aller Kirchtürme und Kirchenbauten. Die Kirchen der Reformation haben eine gemilderte Form diese negativen Religionsfreiheit im Österreich Josefs </w:t>
      </w:r>
      <w:r w:rsidR="00C82736" w:rsidRPr="00806F17">
        <w:rPr>
          <w:rFonts w:asciiTheme="majorHAnsi" w:hAnsiTheme="majorHAnsi" w:cstheme="majorHAnsi"/>
          <w:sz w:val="22"/>
          <w:lang w:val="de-AT"/>
        </w:rPr>
        <w:t>II</w:t>
      </w:r>
      <w:r w:rsidR="00CE7815" w:rsidRPr="00806F17">
        <w:rPr>
          <w:rFonts w:asciiTheme="majorHAnsi" w:hAnsiTheme="majorHAnsi" w:cstheme="majorHAnsi"/>
          <w:sz w:val="22"/>
          <w:lang w:val="de-AT"/>
        </w:rPr>
        <w:t>.</w:t>
      </w:r>
      <w:r w:rsidR="00C82736" w:rsidRPr="00806F17">
        <w:rPr>
          <w:rFonts w:asciiTheme="majorHAnsi" w:hAnsiTheme="majorHAnsi" w:cstheme="majorHAnsi"/>
          <w:sz w:val="22"/>
          <w:lang w:val="de-AT"/>
        </w:rPr>
        <w:t xml:space="preserve"> erlebt, wo das Toleranzedikt</w:t>
      </w:r>
      <w:r w:rsidRPr="00806F17">
        <w:rPr>
          <w:rFonts w:asciiTheme="majorHAnsi" w:hAnsiTheme="majorHAnsi" w:cstheme="majorHAnsi"/>
          <w:sz w:val="22"/>
          <w:lang w:val="de-AT"/>
        </w:rPr>
        <w:t xml:space="preserve"> ihnen zwar die freie Religionszugehörigkeit gewährte, aber nur </w:t>
      </w:r>
      <w:r w:rsidR="00C82736" w:rsidRPr="00806F17">
        <w:rPr>
          <w:rFonts w:asciiTheme="majorHAnsi" w:hAnsiTheme="majorHAnsi" w:cstheme="majorHAnsi"/>
          <w:sz w:val="22"/>
          <w:lang w:val="de-AT"/>
        </w:rPr>
        <w:t>Kirchenbauten</w:t>
      </w:r>
      <w:r w:rsidRPr="00806F17">
        <w:rPr>
          <w:rFonts w:asciiTheme="majorHAnsi" w:hAnsiTheme="majorHAnsi" w:cstheme="majorHAnsi"/>
          <w:sz w:val="22"/>
          <w:lang w:val="de-AT"/>
        </w:rPr>
        <w:t xml:space="preserve">, die in die Häuserfront eingebunden waren und keine kirchlichen Identifikationsmerkmale aufweisen durften, also öffentlich nicht als Kirchen erkennbar sein sollten. Die beiden Kirchen A.B. und H.B. in der Wiener </w:t>
      </w:r>
      <w:proofErr w:type="spellStart"/>
      <w:r w:rsidRPr="00806F17">
        <w:rPr>
          <w:rFonts w:asciiTheme="majorHAnsi" w:hAnsiTheme="majorHAnsi" w:cstheme="majorHAnsi"/>
          <w:sz w:val="22"/>
          <w:lang w:val="de-AT"/>
        </w:rPr>
        <w:t>Dorotheergasse</w:t>
      </w:r>
      <w:proofErr w:type="spellEnd"/>
      <w:r w:rsidRPr="00806F17">
        <w:rPr>
          <w:rFonts w:asciiTheme="majorHAnsi" w:hAnsiTheme="majorHAnsi" w:cstheme="majorHAnsi"/>
          <w:sz w:val="22"/>
          <w:lang w:val="de-AT"/>
        </w:rPr>
        <w:t xml:space="preserve"> zeigen dies </w:t>
      </w:r>
      <w:r w:rsidR="00C82736" w:rsidRPr="00806F17">
        <w:rPr>
          <w:rFonts w:asciiTheme="majorHAnsi" w:hAnsiTheme="majorHAnsi" w:cstheme="majorHAnsi"/>
          <w:sz w:val="22"/>
          <w:lang w:val="de-AT"/>
        </w:rPr>
        <w:t>noch</w:t>
      </w:r>
      <w:r w:rsidRPr="00806F17">
        <w:rPr>
          <w:rFonts w:asciiTheme="majorHAnsi" w:hAnsiTheme="majorHAnsi" w:cstheme="majorHAnsi"/>
          <w:sz w:val="22"/>
          <w:lang w:val="de-AT"/>
        </w:rPr>
        <w:t xml:space="preserve"> heute anschaulich.</w:t>
      </w:r>
    </w:p>
    <w:p w:rsidR="006009A0" w:rsidRPr="00806F17" w:rsidRDefault="006009A0" w:rsidP="00806F17">
      <w:pPr>
        <w:jc w:val="both"/>
        <w:rPr>
          <w:rFonts w:asciiTheme="majorHAnsi" w:hAnsiTheme="majorHAnsi" w:cstheme="majorHAnsi"/>
          <w:sz w:val="22"/>
          <w:lang w:val="de-AT"/>
        </w:rPr>
      </w:pPr>
    </w:p>
    <w:p w:rsidR="006009A0" w:rsidRPr="00806F17" w:rsidRDefault="001D7FEF" w:rsidP="00806F17">
      <w:pPr>
        <w:jc w:val="both"/>
        <w:rPr>
          <w:rFonts w:asciiTheme="majorHAnsi" w:hAnsiTheme="majorHAnsi" w:cstheme="majorHAnsi"/>
          <w:sz w:val="22"/>
          <w:lang w:val="de-AT"/>
        </w:rPr>
      </w:pPr>
      <w:r w:rsidRPr="00806F17">
        <w:rPr>
          <w:rFonts w:asciiTheme="majorHAnsi" w:hAnsiTheme="majorHAnsi" w:cstheme="majorHAnsi"/>
          <w:sz w:val="22"/>
          <w:lang w:val="de-AT"/>
        </w:rPr>
        <w:t xml:space="preserve">Unsere säkulare Gesellschaft beginnt in den letzten Jahren aber, ungezügelt die Verbannung und Eliminierung alles religiösen, besonders alles christlichen, aus dem Alltag unserer </w:t>
      </w:r>
      <w:r w:rsidR="00C82736" w:rsidRPr="00806F17">
        <w:rPr>
          <w:rFonts w:asciiTheme="majorHAnsi" w:hAnsiTheme="majorHAnsi" w:cstheme="majorHAnsi"/>
          <w:sz w:val="22"/>
          <w:lang w:val="de-AT"/>
        </w:rPr>
        <w:t>Gesellschaft</w:t>
      </w:r>
      <w:r w:rsidRPr="00806F17">
        <w:rPr>
          <w:rFonts w:asciiTheme="majorHAnsi" w:hAnsiTheme="majorHAnsi" w:cstheme="majorHAnsi"/>
          <w:sz w:val="22"/>
          <w:lang w:val="de-AT"/>
        </w:rPr>
        <w:t xml:space="preserve"> zu fordern. Daher ist die Arbeit de</w:t>
      </w:r>
      <w:r w:rsidR="00CE7815" w:rsidRPr="00806F17">
        <w:rPr>
          <w:rFonts w:asciiTheme="majorHAnsi" w:hAnsiTheme="majorHAnsi" w:cstheme="majorHAnsi"/>
          <w:sz w:val="22"/>
          <w:lang w:val="de-AT"/>
        </w:rPr>
        <w:t>s</w:t>
      </w:r>
      <w:r w:rsidRPr="00806F17">
        <w:rPr>
          <w:rFonts w:asciiTheme="majorHAnsi" w:hAnsiTheme="majorHAnsi" w:cstheme="majorHAnsi"/>
          <w:sz w:val="22"/>
          <w:lang w:val="de-AT"/>
        </w:rPr>
        <w:t xml:space="preserve"> </w:t>
      </w:r>
      <w:r w:rsidR="00CE7815" w:rsidRPr="00806F17">
        <w:rPr>
          <w:rFonts w:asciiTheme="majorHAnsi" w:hAnsiTheme="majorHAnsi" w:cstheme="majorHAnsi"/>
          <w:sz w:val="22"/>
          <w:lang w:val="de-AT"/>
        </w:rPr>
        <w:t>‚</w:t>
      </w:r>
      <w:r w:rsidRPr="00806F17">
        <w:rPr>
          <w:rFonts w:asciiTheme="majorHAnsi" w:hAnsiTheme="majorHAnsi" w:cstheme="majorHAnsi"/>
          <w:sz w:val="22"/>
          <w:lang w:val="de-AT"/>
        </w:rPr>
        <w:t>Dokumentations</w:t>
      </w:r>
      <w:r w:rsidR="00CE7815" w:rsidRPr="00806F17">
        <w:rPr>
          <w:rFonts w:asciiTheme="majorHAnsi" w:hAnsiTheme="majorHAnsi" w:cstheme="majorHAnsi"/>
          <w:sz w:val="22"/>
          <w:lang w:val="de-AT"/>
        </w:rPr>
        <w:t>archivs</w:t>
      </w:r>
      <w:r w:rsidRPr="00806F17">
        <w:rPr>
          <w:rFonts w:asciiTheme="majorHAnsi" w:hAnsiTheme="majorHAnsi" w:cstheme="majorHAnsi"/>
          <w:sz w:val="22"/>
          <w:lang w:val="de-AT"/>
        </w:rPr>
        <w:t xml:space="preserve"> </w:t>
      </w:r>
      <w:r w:rsidR="00CE7815" w:rsidRPr="00806F17">
        <w:rPr>
          <w:rFonts w:asciiTheme="majorHAnsi" w:hAnsiTheme="majorHAnsi" w:cstheme="majorHAnsi"/>
          <w:sz w:val="22"/>
          <w:lang w:val="de-AT"/>
        </w:rPr>
        <w:t>der</w:t>
      </w:r>
      <w:r w:rsidRPr="00806F17">
        <w:rPr>
          <w:rFonts w:asciiTheme="majorHAnsi" w:hAnsiTheme="majorHAnsi" w:cstheme="majorHAnsi"/>
          <w:sz w:val="22"/>
          <w:lang w:val="de-AT"/>
        </w:rPr>
        <w:t xml:space="preserve"> Intoleranz </w:t>
      </w:r>
      <w:r w:rsidR="00CE7815" w:rsidRPr="00806F17">
        <w:rPr>
          <w:rFonts w:asciiTheme="majorHAnsi" w:hAnsiTheme="majorHAnsi" w:cstheme="majorHAnsi"/>
          <w:sz w:val="22"/>
          <w:lang w:val="de-AT"/>
        </w:rPr>
        <w:t>gegen</w:t>
      </w:r>
      <w:r w:rsidRPr="00806F17">
        <w:rPr>
          <w:rFonts w:asciiTheme="majorHAnsi" w:hAnsiTheme="majorHAnsi" w:cstheme="majorHAnsi"/>
          <w:sz w:val="22"/>
          <w:lang w:val="de-AT"/>
        </w:rPr>
        <w:t xml:space="preserve"> Christen</w:t>
      </w:r>
      <w:r w:rsidR="00CE7815" w:rsidRPr="00806F17">
        <w:rPr>
          <w:rFonts w:asciiTheme="majorHAnsi" w:hAnsiTheme="majorHAnsi" w:cstheme="majorHAnsi"/>
          <w:sz w:val="22"/>
          <w:lang w:val="de-AT"/>
        </w:rPr>
        <w:t xml:space="preserve"> in Europa’</w:t>
      </w:r>
      <w:r w:rsidRPr="00806F17">
        <w:rPr>
          <w:rFonts w:asciiTheme="majorHAnsi" w:hAnsiTheme="majorHAnsi" w:cstheme="majorHAnsi"/>
          <w:sz w:val="22"/>
          <w:lang w:val="de-AT"/>
        </w:rPr>
        <w:t xml:space="preserve"> von besonderer Bedeutung. In </w:t>
      </w:r>
      <w:r w:rsidR="00F558F1" w:rsidRPr="00806F17">
        <w:rPr>
          <w:rFonts w:asciiTheme="majorHAnsi" w:hAnsiTheme="majorHAnsi" w:cstheme="majorHAnsi"/>
          <w:sz w:val="22"/>
          <w:lang w:val="de-AT"/>
        </w:rPr>
        <w:t>Europa</w:t>
      </w:r>
      <w:r w:rsidRPr="00806F17">
        <w:rPr>
          <w:rFonts w:asciiTheme="majorHAnsi" w:hAnsiTheme="majorHAnsi" w:cstheme="majorHAnsi"/>
          <w:sz w:val="22"/>
          <w:lang w:val="de-AT"/>
        </w:rPr>
        <w:t xml:space="preserve"> finden wir bereits Fälle, in denen das Tragen eine</w:t>
      </w:r>
      <w:r w:rsidR="00CE7815" w:rsidRPr="00806F17">
        <w:rPr>
          <w:rFonts w:asciiTheme="majorHAnsi" w:hAnsiTheme="majorHAnsi" w:cstheme="majorHAnsi"/>
          <w:sz w:val="22"/>
          <w:lang w:val="de-AT"/>
        </w:rPr>
        <w:t>r</w:t>
      </w:r>
      <w:r w:rsidRPr="00806F17">
        <w:rPr>
          <w:rFonts w:asciiTheme="majorHAnsi" w:hAnsiTheme="majorHAnsi" w:cstheme="majorHAnsi"/>
          <w:sz w:val="22"/>
          <w:lang w:val="de-AT"/>
        </w:rPr>
        <w:t xml:space="preserve"> Halsk</w:t>
      </w:r>
      <w:r w:rsidR="00CE7815" w:rsidRPr="00806F17">
        <w:rPr>
          <w:rFonts w:asciiTheme="majorHAnsi" w:hAnsiTheme="majorHAnsi" w:cstheme="majorHAnsi"/>
          <w:sz w:val="22"/>
          <w:lang w:val="de-AT"/>
        </w:rPr>
        <w:t>ette mit dem Kreuz</w:t>
      </w:r>
      <w:r w:rsidRPr="00806F17">
        <w:rPr>
          <w:rFonts w:asciiTheme="majorHAnsi" w:hAnsiTheme="majorHAnsi" w:cstheme="majorHAnsi"/>
          <w:sz w:val="22"/>
          <w:lang w:val="de-AT"/>
        </w:rPr>
        <w:t xml:space="preserve"> zur Kündigung </w:t>
      </w:r>
      <w:r w:rsidR="00C82736" w:rsidRPr="00806F17">
        <w:rPr>
          <w:rFonts w:asciiTheme="majorHAnsi" w:hAnsiTheme="majorHAnsi" w:cstheme="majorHAnsi"/>
          <w:sz w:val="22"/>
          <w:lang w:val="de-AT"/>
        </w:rPr>
        <w:t>führte</w:t>
      </w:r>
      <w:r w:rsidRPr="00806F17">
        <w:rPr>
          <w:rFonts w:asciiTheme="majorHAnsi" w:hAnsiTheme="majorHAnsi" w:cstheme="majorHAnsi"/>
          <w:sz w:val="22"/>
          <w:lang w:val="de-AT"/>
        </w:rPr>
        <w:t xml:space="preserve">. Der religiös motivierte Turban des im gleichen </w:t>
      </w:r>
      <w:r w:rsidR="00C82736" w:rsidRPr="00806F17">
        <w:rPr>
          <w:rFonts w:asciiTheme="majorHAnsi" w:hAnsiTheme="majorHAnsi" w:cstheme="majorHAnsi"/>
          <w:sz w:val="22"/>
          <w:lang w:val="de-AT"/>
        </w:rPr>
        <w:t>Office</w:t>
      </w:r>
      <w:r w:rsidRPr="00806F17">
        <w:rPr>
          <w:rFonts w:asciiTheme="majorHAnsi" w:hAnsiTheme="majorHAnsi" w:cstheme="majorHAnsi"/>
          <w:sz w:val="22"/>
          <w:lang w:val="de-AT"/>
        </w:rPr>
        <w:t xml:space="preserve"> arbeitenden </w:t>
      </w:r>
      <w:proofErr w:type="spellStart"/>
      <w:r w:rsidRPr="00806F17">
        <w:rPr>
          <w:rFonts w:asciiTheme="majorHAnsi" w:hAnsiTheme="majorHAnsi" w:cstheme="majorHAnsi"/>
          <w:sz w:val="22"/>
          <w:lang w:val="de-AT"/>
        </w:rPr>
        <w:t>Sikhs</w:t>
      </w:r>
      <w:proofErr w:type="spellEnd"/>
      <w:r w:rsidRPr="00806F17">
        <w:rPr>
          <w:rFonts w:asciiTheme="majorHAnsi" w:hAnsiTheme="majorHAnsi" w:cstheme="majorHAnsi"/>
          <w:sz w:val="22"/>
          <w:lang w:val="de-AT"/>
        </w:rPr>
        <w:t xml:space="preserve"> blieb jedoch ebenso unbehelligt wie die </w:t>
      </w:r>
      <w:r w:rsidR="00CE7815" w:rsidRPr="00806F17">
        <w:rPr>
          <w:rFonts w:asciiTheme="majorHAnsi" w:hAnsiTheme="majorHAnsi" w:cstheme="majorHAnsi"/>
          <w:sz w:val="22"/>
          <w:lang w:val="de-AT"/>
        </w:rPr>
        <w:t>Halsk</w:t>
      </w:r>
      <w:r w:rsidRPr="00806F17">
        <w:rPr>
          <w:rFonts w:asciiTheme="majorHAnsi" w:hAnsiTheme="majorHAnsi" w:cstheme="majorHAnsi"/>
          <w:sz w:val="22"/>
          <w:lang w:val="de-AT"/>
        </w:rPr>
        <w:t xml:space="preserve">ette </w:t>
      </w:r>
      <w:r w:rsidR="00CE7815" w:rsidRPr="00806F17">
        <w:rPr>
          <w:rFonts w:asciiTheme="majorHAnsi" w:hAnsiTheme="majorHAnsi" w:cstheme="majorHAnsi"/>
          <w:sz w:val="22"/>
          <w:lang w:val="de-AT"/>
        </w:rPr>
        <w:t xml:space="preserve">einer </w:t>
      </w:r>
      <w:proofErr w:type="spellStart"/>
      <w:r w:rsidR="00CE7815" w:rsidRPr="00806F17">
        <w:rPr>
          <w:rFonts w:asciiTheme="majorHAnsi" w:hAnsiTheme="majorHAnsi" w:cstheme="majorHAnsi"/>
          <w:sz w:val="22"/>
          <w:lang w:val="de-AT"/>
        </w:rPr>
        <w:t>Muslima</w:t>
      </w:r>
      <w:proofErr w:type="spellEnd"/>
      <w:r w:rsidR="00CE7815" w:rsidRPr="00806F17">
        <w:rPr>
          <w:rFonts w:asciiTheme="majorHAnsi" w:hAnsiTheme="majorHAnsi" w:cstheme="majorHAnsi"/>
          <w:sz w:val="22"/>
          <w:lang w:val="de-AT"/>
        </w:rPr>
        <w:t xml:space="preserve"> </w:t>
      </w:r>
      <w:r w:rsidRPr="00806F17">
        <w:rPr>
          <w:rFonts w:asciiTheme="majorHAnsi" w:hAnsiTheme="majorHAnsi" w:cstheme="majorHAnsi"/>
          <w:sz w:val="22"/>
          <w:lang w:val="de-AT"/>
        </w:rPr>
        <w:t>mit der Hand Fatimas.</w:t>
      </w:r>
    </w:p>
    <w:p w:rsidR="006009A0" w:rsidRPr="00806F17" w:rsidRDefault="006009A0" w:rsidP="00806F17">
      <w:pPr>
        <w:jc w:val="both"/>
        <w:rPr>
          <w:rFonts w:asciiTheme="majorHAnsi" w:hAnsiTheme="majorHAnsi" w:cstheme="majorHAnsi"/>
          <w:sz w:val="22"/>
          <w:lang w:val="de-AT"/>
        </w:rPr>
      </w:pPr>
    </w:p>
    <w:p w:rsidR="00C91AFD" w:rsidRPr="00806F17" w:rsidRDefault="001D7FEF" w:rsidP="00806F17">
      <w:pPr>
        <w:jc w:val="both"/>
        <w:rPr>
          <w:rFonts w:asciiTheme="majorHAnsi" w:hAnsiTheme="majorHAnsi" w:cstheme="majorHAnsi"/>
          <w:sz w:val="22"/>
          <w:lang w:val="de-AT"/>
        </w:rPr>
      </w:pPr>
      <w:r w:rsidRPr="00806F17">
        <w:rPr>
          <w:rFonts w:asciiTheme="majorHAnsi" w:hAnsiTheme="majorHAnsi" w:cstheme="majorHAnsi"/>
          <w:sz w:val="22"/>
          <w:lang w:val="de-AT"/>
        </w:rPr>
        <w:t xml:space="preserve">Ich habe diese </w:t>
      </w:r>
      <w:r w:rsidR="00C82736" w:rsidRPr="00806F17">
        <w:rPr>
          <w:rFonts w:asciiTheme="majorHAnsi" w:hAnsiTheme="majorHAnsi" w:cstheme="majorHAnsi"/>
          <w:sz w:val="22"/>
          <w:lang w:val="de-AT"/>
        </w:rPr>
        <w:t>Entwicklungen</w:t>
      </w:r>
      <w:r w:rsidRPr="00806F17">
        <w:rPr>
          <w:rFonts w:asciiTheme="majorHAnsi" w:hAnsiTheme="majorHAnsi" w:cstheme="majorHAnsi"/>
          <w:sz w:val="22"/>
          <w:lang w:val="de-AT"/>
        </w:rPr>
        <w:t xml:space="preserve"> dargestellt, um deutlich zu machen, dass auch unser Verständnis von Religionsfreiheit nicht vom Himmel gefallen ist, </w:t>
      </w:r>
      <w:r w:rsidR="00C82736" w:rsidRPr="00806F17">
        <w:rPr>
          <w:rFonts w:asciiTheme="majorHAnsi" w:hAnsiTheme="majorHAnsi" w:cstheme="majorHAnsi"/>
          <w:sz w:val="22"/>
          <w:lang w:val="de-AT"/>
        </w:rPr>
        <w:t>sondern</w:t>
      </w:r>
      <w:r w:rsidRPr="00806F17">
        <w:rPr>
          <w:rFonts w:asciiTheme="majorHAnsi" w:hAnsiTheme="majorHAnsi" w:cstheme="majorHAnsi"/>
          <w:sz w:val="22"/>
          <w:lang w:val="de-AT"/>
        </w:rPr>
        <w:t xml:space="preserve"> das Ergebnis eines langen Leidens- und Erkenntnisprozesses unserer Geschicht</w:t>
      </w:r>
      <w:r w:rsidR="000E234B" w:rsidRPr="00806F17">
        <w:rPr>
          <w:rFonts w:asciiTheme="majorHAnsi" w:hAnsiTheme="majorHAnsi" w:cstheme="majorHAnsi"/>
          <w:sz w:val="22"/>
          <w:lang w:val="de-AT"/>
        </w:rPr>
        <w:t>e ist</w:t>
      </w:r>
      <w:r w:rsidR="008D2114" w:rsidRPr="00806F17">
        <w:rPr>
          <w:rFonts w:asciiTheme="majorHAnsi" w:hAnsiTheme="majorHAnsi" w:cstheme="majorHAnsi"/>
          <w:sz w:val="22"/>
          <w:lang w:val="de-AT"/>
        </w:rPr>
        <w:t>.</w:t>
      </w:r>
      <w:r w:rsidR="000E234B" w:rsidRPr="00806F17">
        <w:rPr>
          <w:rFonts w:asciiTheme="majorHAnsi" w:hAnsiTheme="majorHAnsi" w:cstheme="majorHAnsi"/>
          <w:sz w:val="22"/>
          <w:lang w:val="de-AT"/>
        </w:rPr>
        <w:t xml:space="preserve"> </w:t>
      </w:r>
      <w:r w:rsidR="00972073" w:rsidRPr="00806F17">
        <w:rPr>
          <w:rFonts w:asciiTheme="majorHAnsi" w:hAnsiTheme="majorHAnsi" w:cstheme="majorHAnsi"/>
          <w:sz w:val="22"/>
          <w:lang w:val="de-AT"/>
        </w:rPr>
        <w:t>Nicht</w:t>
      </w:r>
      <w:r w:rsidR="0026637A" w:rsidRPr="00806F17">
        <w:rPr>
          <w:rFonts w:asciiTheme="majorHAnsi" w:hAnsiTheme="majorHAnsi" w:cstheme="majorHAnsi"/>
          <w:sz w:val="22"/>
          <w:lang w:val="de-AT"/>
        </w:rPr>
        <w:t>s</w:t>
      </w:r>
      <w:r w:rsidR="00972073" w:rsidRPr="00806F17">
        <w:rPr>
          <w:rFonts w:asciiTheme="majorHAnsi" w:hAnsiTheme="majorHAnsi" w:cstheme="majorHAnsi"/>
          <w:sz w:val="22"/>
          <w:lang w:val="de-AT"/>
        </w:rPr>
        <w:t xml:space="preserve"> aber ist so gefährlich gewesen, als wenn Menschen ihre eigenen Ideen verabsolutiert und zum Diktat für alle anderen gemacht haben. Sir Karl Popper hat einmal zutreffend formuliert: Von allen politischen Idealen ist der Wunsch, Menschen glücklich zu machen, </w:t>
      </w:r>
      <w:r w:rsidR="0026637A" w:rsidRPr="00806F17">
        <w:rPr>
          <w:rFonts w:asciiTheme="majorHAnsi" w:hAnsiTheme="majorHAnsi" w:cstheme="majorHAnsi"/>
          <w:sz w:val="22"/>
          <w:lang w:val="de-AT"/>
        </w:rPr>
        <w:t xml:space="preserve">vielleicht </w:t>
      </w:r>
      <w:r w:rsidR="00972073" w:rsidRPr="00806F17">
        <w:rPr>
          <w:rFonts w:asciiTheme="majorHAnsi" w:hAnsiTheme="majorHAnsi" w:cstheme="majorHAnsi"/>
          <w:sz w:val="22"/>
          <w:lang w:val="de-AT"/>
        </w:rPr>
        <w:t>der gefährlichste; denn der Versuch, den Himmel auf Erden einzuric</w:t>
      </w:r>
      <w:r w:rsidR="0026637A" w:rsidRPr="00806F17">
        <w:rPr>
          <w:rFonts w:asciiTheme="majorHAnsi" w:hAnsiTheme="majorHAnsi" w:cstheme="majorHAnsi"/>
          <w:sz w:val="22"/>
          <w:lang w:val="de-AT"/>
        </w:rPr>
        <w:t>hten, produziere stets die Hölle.</w:t>
      </w:r>
      <w:r w:rsidR="00972073" w:rsidRPr="00806F17">
        <w:rPr>
          <w:rStyle w:val="Funotenzeichen"/>
          <w:rFonts w:asciiTheme="majorHAnsi" w:hAnsiTheme="majorHAnsi" w:cstheme="majorHAnsi"/>
          <w:sz w:val="22"/>
          <w:lang w:val="de-AT"/>
        </w:rPr>
        <w:footnoteReference w:id="1"/>
      </w:r>
      <w:r w:rsidR="0026637A" w:rsidRPr="00806F17">
        <w:rPr>
          <w:rFonts w:asciiTheme="majorHAnsi" w:hAnsiTheme="majorHAnsi" w:cstheme="majorHAnsi"/>
          <w:sz w:val="22"/>
          <w:lang w:val="de-AT"/>
        </w:rPr>
        <w:t xml:space="preserve"> So bleibt auch die Frage der Religionsfreiheit als Grundfrage menschlichen Glückens immer ein Lernprozess, in dem wir uns vor Verabsolutierungen eigenen Wunschdenkens hüten sollten. </w:t>
      </w:r>
      <w:r w:rsidR="00C91AFD" w:rsidRPr="00806F17">
        <w:rPr>
          <w:rFonts w:asciiTheme="majorHAnsi" w:hAnsiTheme="majorHAnsi" w:cstheme="majorHAnsi"/>
          <w:sz w:val="22"/>
          <w:lang w:val="de-AT"/>
        </w:rPr>
        <w:t xml:space="preserve">Der Blick auf die Lehre Jesu vermag sehr gut vor der Verirrung in selbstgemachte </w:t>
      </w:r>
      <w:proofErr w:type="spellStart"/>
      <w:r w:rsidR="00C91AFD" w:rsidRPr="00806F17">
        <w:rPr>
          <w:rFonts w:asciiTheme="majorHAnsi" w:hAnsiTheme="majorHAnsi" w:cstheme="majorHAnsi"/>
          <w:sz w:val="22"/>
          <w:lang w:val="de-AT"/>
        </w:rPr>
        <w:t>Absolutheiten</w:t>
      </w:r>
      <w:proofErr w:type="spellEnd"/>
      <w:r w:rsidR="00C91AFD" w:rsidRPr="00806F17">
        <w:rPr>
          <w:rFonts w:asciiTheme="majorHAnsi" w:hAnsiTheme="majorHAnsi" w:cstheme="majorHAnsi"/>
          <w:sz w:val="22"/>
          <w:lang w:val="de-AT"/>
        </w:rPr>
        <w:t xml:space="preserve"> zu bewahren.</w:t>
      </w:r>
    </w:p>
    <w:p w:rsidR="006009A0" w:rsidRPr="00806F17" w:rsidRDefault="006009A0" w:rsidP="00806F17">
      <w:pPr>
        <w:jc w:val="both"/>
        <w:rPr>
          <w:rFonts w:asciiTheme="majorHAnsi" w:hAnsiTheme="majorHAnsi" w:cstheme="majorHAnsi"/>
          <w:sz w:val="22"/>
          <w:lang w:val="de-AT"/>
        </w:rPr>
      </w:pPr>
    </w:p>
    <w:p w:rsidR="000E234B" w:rsidRPr="00806F17" w:rsidRDefault="00264216" w:rsidP="00806F17">
      <w:pPr>
        <w:jc w:val="both"/>
        <w:rPr>
          <w:rFonts w:asciiTheme="majorHAnsi" w:hAnsiTheme="majorHAnsi" w:cstheme="majorHAnsi"/>
          <w:sz w:val="22"/>
          <w:lang w:val="de-AT"/>
        </w:rPr>
      </w:pPr>
      <w:r w:rsidRPr="00806F17">
        <w:rPr>
          <w:rFonts w:asciiTheme="majorHAnsi" w:hAnsiTheme="majorHAnsi" w:cstheme="majorHAnsi"/>
          <w:sz w:val="22"/>
          <w:lang w:val="de-AT"/>
        </w:rPr>
        <w:t>Als Leser der Evangelien sollten wir damit vertraut sein</w:t>
      </w:r>
      <w:r w:rsidR="001D7FEF" w:rsidRPr="00806F17">
        <w:rPr>
          <w:rFonts w:asciiTheme="majorHAnsi" w:hAnsiTheme="majorHAnsi" w:cstheme="majorHAnsi"/>
          <w:sz w:val="22"/>
          <w:lang w:val="de-AT"/>
        </w:rPr>
        <w:t xml:space="preserve">. </w:t>
      </w:r>
      <w:r w:rsidR="008D2114" w:rsidRPr="00806F17">
        <w:rPr>
          <w:rFonts w:asciiTheme="majorHAnsi" w:hAnsiTheme="majorHAnsi" w:cstheme="majorHAnsi"/>
          <w:sz w:val="22"/>
          <w:lang w:val="de-AT"/>
        </w:rPr>
        <w:t xml:space="preserve">So </w:t>
      </w:r>
      <w:r w:rsidR="001D7FEF" w:rsidRPr="00806F17">
        <w:rPr>
          <w:rFonts w:asciiTheme="majorHAnsi" w:hAnsiTheme="majorHAnsi" w:cstheme="majorHAnsi"/>
          <w:sz w:val="22"/>
          <w:lang w:val="de-AT"/>
        </w:rPr>
        <w:t xml:space="preserve">fordert </w:t>
      </w:r>
      <w:r w:rsidR="008D2114" w:rsidRPr="00806F17">
        <w:rPr>
          <w:rFonts w:asciiTheme="majorHAnsi" w:hAnsiTheme="majorHAnsi" w:cstheme="majorHAnsi"/>
          <w:sz w:val="22"/>
          <w:lang w:val="de-AT"/>
        </w:rPr>
        <w:t xml:space="preserve">Jesus </w:t>
      </w:r>
      <w:r w:rsidR="001D7FEF" w:rsidRPr="00806F17">
        <w:rPr>
          <w:rFonts w:asciiTheme="majorHAnsi" w:hAnsiTheme="majorHAnsi" w:cstheme="majorHAnsi"/>
          <w:sz w:val="22"/>
          <w:lang w:val="de-AT"/>
        </w:rPr>
        <w:t xml:space="preserve">die Rechtssicherheit von Ehefrauen gegen die Willkür von Männern, die sie </w:t>
      </w:r>
      <w:r w:rsidR="008D2114" w:rsidRPr="00806F17">
        <w:rPr>
          <w:rFonts w:asciiTheme="majorHAnsi" w:hAnsiTheme="majorHAnsi" w:cstheme="majorHAnsi"/>
          <w:sz w:val="22"/>
          <w:lang w:val="de-AT"/>
        </w:rPr>
        <w:t xml:space="preserve">nach jüdischem Gesetz </w:t>
      </w:r>
      <w:r w:rsidR="001D7FEF" w:rsidRPr="00806F17">
        <w:rPr>
          <w:rFonts w:asciiTheme="majorHAnsi" w:hAnsiTheme="majorHAnsi" w:cstheme="majorHAnsi"/>
          <w:sz w:val="22"/>
          <w:lang w:val="de-AT"/>
        </w:rPr>
        <w:t xml:space="preserve">ganz legal aus der </w:t>
      </w:r>
      <w:r w:rsidR="00C82736" w:rsidRPr="00806F17">
        <w:rPr>
          <w:rFonts w:asciiTheme="majorHAnsi" w:hAnsiTheme="majorHAnsi" w:cstheme="majorHAnsi"/>
          <w:sz w:val="22"/>
          <w:lang w:val="de-AT"/>
        </w:rPr>
        <w:t>Ehe</w:t>
      </w:r>
      <w:r w:rsidR="001D7FEF" w:rsidRPr="00806F17">
        <w:rPr>
          <w:rFonts w:asciiTheme="majorHAnsi" w:hAnsiTheme="majorHAnsi" w:cstheme="majorHAnsi"/>
          <w:sz w:val="22"/>
          <w:lang w:val="de-AT"/>
        </w:rPr>
        <w:t xml:space="preserve"> entlassen konnten - und damit meist einer sicheren Verelendung aussetz</w:t>
      </w:r>
      <w:r w:rsidR="000E234B" w:rsidRPr="00806F17">
        <w:rPr>
          <w:rFonts w:asciiTheme="majorHAnsi" w:hAnsiTheme="majorHAnsi" w:cstheme="majorHAnsi"/>
          <w:sz w:val="22"/>
          <w:lang w:val="de-AT"/>
        </w:rPr>
        <w:t>t</w:t>
      </w:r>
      <w:r w:rsidR="001D7FEF" w:rsidRPr="00806F17">
        <w:rPr>
          <w:rFonts w:asciiTheme="majorHAnsi" w:hAnsiTheme="majorHAnsi" w:cstheme="majorHAnsi"/>
          <w:sz w:val="22"/>
          <w:lang w:val="de-AT"/>
        </w:rPr>
        <w:t>en. "Nur weil ihr so hartherzig seid, hat (Mose) euch dieses Gebot gegeben</w:t>
      </w:r>
      <w:r w:rsidR="000E234B" w:rsidRPr="00806F17">
        <w:rPr>
          <w:rFonts w:asciiTheme="majorHAnsi" w:hAnsiTheme="majorHAnsi" w:cstheme="majorHAnsi"/>
          <w:sz w:val="22"/>
          <w:lang w:val="de-AT"/>
        </w:rPr>
        <w:t xml:space="preserve"> </w:t>
      </w:r>
      <w:r w:rsidR="001D7FEF" w:rsidRPr="00806F17">
        <w:rPr>
          <w:rFonts w:asciiTheme="majorHAnsi" w:hAnsiTheme="majorHAnsi" w:cstheme="majorHAnsi"/>
          <w:sz w:val="22"/>
          <w:lang w:val="de-AT"/>
        </w:rPr>
        <w:t>....</w:t>
      </w:r>
      <w:r w:rsidR="000E234B" w:rsidRPr="00806F17">
        <w:rPr>
          <w:rFonts w:asciiTheme="majorHAnsi" w:hAnsiTheme="majorHAnsi" w:cstheme="majorHAnsi"/>
          <w:sz w:val="22"/>
          <w:lang w:val="de-AT"/>
        </w:rPr>
        <w:t xml:space="preserve"> </w:t>
      </w:r>
      <w:r w:rsidR="001D7FEF" w:rsidRPr="00806F17">
        <w:rPr>
          <w:rFonts w:asciiTheme="majorHAnsi" w:hAnsiTheme="majorHAnsi" w:cstheme="majorHAnsi"/>
          <w:sz w:val="22"/>
          <w:lang w:val="de-AT"/>
        </w:rPr>
        <w:t>Was aber Gott verbunden hat darf er Mensch nicht trennen" (</w:t>
      </w:r>
      <w:proofErr w:type="spellStart"/>
      <w:r w:rsidR="001D7FEF" w:rsidRPr="00806F17">
        <w:rPr>
          <w:rFonts w:asciiTheme="majorHAnsi" w:hAnsiTheme="majorHAnsi" w:cstheme="majorHAnsi"/>
          <w:sz w:val="22"/>
          <w:lang w:val="de-AT"/>
        </w:rPr>
        <w:t>Mk</w:t>
      </w:r>
      <w:proofErr w:type="spellEnd"/>
      <w:r w:rsidR="001D7FEF" w:rsidRPr="00806F17">
        <w:rPr>
          <w:rFonts w:asciiTheme="majorHAnsi" w:hAnsiTheme="majorHAnsi" w:cstheme="majorHAnsi"/>
          <w:sz w:val="22"/>
          <w:lang w:val="de-AT"/>
        </w:rPr>
        <w:t xml:space="preserve"> 10,4.9). Damit zeigt </w:t>
      </w:r>
      <w:r w:rsidR="008D2114" w:rsidRPr="00806F17">
        <w:rPr>
          <w:rFonts w:asciiTheme="majorHAnsi" w:hAnsiTheme="majorHAnsi" w:cstheme="majorHAnsi"/>
          <w:sz w:val="22"/>
          <w:lang w:val="de-AT"/>
        </w:rPr>
        <w:t>Jesus</w:t>
      </w:r>
      <w:r w:rsidR="001D7FEF" w:rsidRPr="00806F17">
        <w:rPr>
          <w:rFonts w:asciiTheme="majorHAnsi" w:hAnsiTheme="majorHAnsi" w:cstheme="majorHAnsi"/>
          <w:sz w:val="22"/>
          <w:lang w:val="de-AT"/>
        </w:rPr>
        <w:t xml:space="preserve"> </w:t>
      </w:r>
      <w:r w:rsidR="00C82736" w:rsidRPr="00806F17">
        <w:rPr>
          <w:rFonts w:asciiTheme="majorHAnsi" w:hAnsiTheme="majorHAnsi" w:cstheme="majorHAnsi"/>
          <w:sz w:val="22"/>
          <w:lang w:val="de-AT"/>
        </w:rPr>
        <w:t>uns</w:t>
      </w:r>
      <w:r w:rsidR="001D7FEF" w:rsidRPr="00806F17">
        <w:rPr>
          <w:rFonts w:asciiTheme="majorHAnsi" w:hAnsiTheme="majorHAnsi" w:cstheme="majorHAnsi"/>
          <w:sz w:val="22"/>
          <w:lang w:val="de-AT"/>
        </w:rPr>
        <w:t xml:space="preserve"> ganz deutlich, dass auch die Gotteserkenntnis und die Enthüllung des göttlichen Willens nicht als </w:t>
      </w:r>
      <w:proofErr w:type="spellStart"/>
      <w:r w:rsidR="001D7FEF" w:rsidRPr="00806F17">
        <w:rPr>
          <w:rFonts w:asciiTheme="majorHAnsi" w:hAnsiTheme="majorHAnsi" w:cstheme="majorHAnsi"/>
          <w:sz w:val="22"/>
          <w:lang w:val="de-AT"/>
        </w:rPr>
        <w:t>deus</w:t>
      </w:r>
      <w:proofErr w:type="spellEnd"/>
      <w:r w:rsidR="001D7FEF" w:rsidRPr="00806F17">
        <w:rPr>
          <w:rFonts w:asciiTheme="majorHAnsi" w:hAnsiTheme="majorHAnsi" w:cstheme="majorHAnsi"/>
          <w:sz w:val="22"/>
          <w:lang w:val="de-AT"/>
        </w:rPr>
        <w:t xml:space="preserve"> ex </w:t>
      </w:r>
      <w:proofErr w:type="spellStart"/>
      <w:r w:rsidR="001D7FEF" w:rsidRPr="00806F17">
        <w:rPr>
          <w:rFonts w:asciiTheme="majorHAnsi" w:hAnsiTheme="majorHAnsi" w:cstheme="majorHAnsi"/>
          <w:sz w:val="22"/>
          <w:lang w:val="de-AT"/>
        </w:rPr>
        <w:t>machina</w:t>
      </w:r>
      <w:proofErr w:type="spellEnd"/>
      <w:r w:rsidR="001D7FEF" w:rsidRPr="00806F17">
        <w:rPr>
          <w:rFonts w:asciiTheme="majorHAnsi" w:hAnsiTheme="majorHAnsi" w:cstheme="majorHAnsi"/>
          <w:sz w:val="22"/>
          <w:lang w:val="de-AT"/>
        </w:rPr>
        <w:t xml:space="preserve"> </w:t>
      </w:r>
      <w:r w:rsidR="000E234B" w:rsidRPr="00806F17">
        <w:rPr>
          <w:rFonts w:asciiTheme="majorHAnsi" w:hAnsiTheme="majorHAnsi" w:cstheme="majorHAnsi"/>
          <w:sz w:val="22"/>
          <w:lang w:val="de-AT"/>
        </w:rPr>
        <w:t>geschehen</w:t>
      </w:r>
      <w:r w:rsidR="001D7FEF" w:rsidRPr="00806F17">
        <w:rPr>
          <w:rFonts w:asciiTheme="majorHAnsi" w:hAnsiTheme="majorHAnsi" w:cstheme="majorHAnsi"/>
          <w:sz w:val="22"/>
          <w:lang w:val="de-AT"/>
        </w:rPr>
        <w:t xml:space="preserve">, sozusagen gegen unserer Menschlichkeit und jenseits unserer Begreifbarkeit. </w:t>
      </w:r>
      <w:r w:rsidR="008D2114" w:rsidRPr="00806F17">
        <w:rPr>
          <w:rFonts w:asciiTheme="majorHAnsi" w:hAnsiTheme="majorHAnsi" w:cstheme="majorHAnsi"/>
          <w:sz w:val="22"/>
          <w:lang w:val="de-AT"/>
        </w:rPr>
        <w:t xml:space="preserve">Ganz im Gegenteil: </w:t>
      </w:r>
      <w:r w:rsidR="001D7FEF" w:rsidRPr="00806F17">
        <w:rPr>
          <w:rFonts w:asciiTheme="majorHAnsi" w:hAnsiTheme="majorHAnsi" w:cstheme="majorHAnsi"/>
          <w:sz w:val="22"/>
          <w:lang w:val="de-AT"/>
        </w:rPr>
        <w:t xml:space="preserve">Gott geht </w:t>
      </w:r>
      <w:r w:rsidR="000E234B" w:rsidRPr="00806F17">
        <w:rPr>
          <w:rFonts w:asciiTheme="majorHAnsi" w:hAnsiTheme="majorHAnsi" w:cstheme="majorHAnsi"/>
          <w:sz w:val="22"/>
          <w:lang w:val="de-AT"/>
        </w:rPr>
        <w:t xml:space="preserve">durch das ganze Alte Testament </w:t>
      </w:r>
      <w:r w:rsidR="008D2114" w:rsidRPr="00806F17">
        <w:rPr>
          <w:rFonts w:asciiTheme="majorHAnsi" w:hAnsiTheme="majorHAnsi" w:cstheme="majorHAnsi"/>
          <w:sz w:val="22"/>
          <w:lang w:val="de-AT"/>
        </w:rPr>
        <w:t>vom</w:t>
      </w:r>
      <w:r w:rsidR="000E234B" w:rsidRPr="00806F17">
        <w:rPr>
          <w:rFonts w:asciiTheme="majorHAnsi" w:hAnsiTheme="majorHAnsi" w:cstheme="majorHAnsi"/>
          <w:sz w:val="22"/>
          <w:lang w:val="de-AT"/>
        </w:rPr>
        <w:t xml:space="preserve"> Auszug aus Ägypten</w:t>
      </w:r>
      <w:r w:rsidR="008D2114" w:rsidRPr="00806F17">
        <w:rPr>
          <w:rFonts w:asciiTheme="majorHAnsi" w:hAnsiTheme="majorHAnsi" w:cstheme="majorHAnsi"/>
          <w:sz w:val="22"/>
          <w:lang w:val="de-AT"/>
        </w:rPr>
        <w:t xml:space="preserve"> über</w:t>
      </w:r>
      <w:r w:rsidR="000E234B" w:rsidRPr="00806F17">
        <w:rPr>
          <w:rFonts w:asciiTheme="majorHAnsi" w:hAnsiTheme="majorHAnsi" w:cstheme="majorHAnsi"/>
          <w:sz w:val="22"/>
          <w:lang w:val="de-AT"/>
        </w:rPr>
        <w:t xml:space="preserve"> </w:t>
      </w:r>
      <w:r w:rsidR="008D2114" w:rsidRPr="00806F17">
        <w:rPr>
          <w:rFonts w:asciiTheme="majorHAnsi" w:hAnsiTheme="majorHAnsi" w:cstheme="majorHAnsi"/>
          <w:sz w:val="22"/>
          <w:lang w:val="de-AT"/>
        </w:rPr>
        <w:t>die</w:t>
      </w:r>
      <w:r w:rsidR="000E234B" w:rsidRPr="00806F17">
        <w:rPr>
          <w:rFonts w:asciiTheme="majorHAnsi" w:hAnsiTheme="majorHAnsi" w:cstheme="majorHAnsi"/>
          <w:sz w:val="22"/>
          <w:lang w:val="de-AT"/>
        </w:rPr>
        <w:t xml:space="preserve"> Propheten </w:t>
      </w:r>
      <w:r w:rsidR="008D2114" w:rsidRPr="00806F17">
        <w:rPr>
          <w:rFonts w:asciiTheme="majorHAnsi" w:hAnsiTheme="majorHAnsi" w:cstheme="majorHAnsi"/>
          <w:sz w:val="22"/>
          <w:lang w:val="de-AT"/>
        </w:rPr>
        <w:t>bis hin zu den</w:t>
      </w:r>
      <w:r w:rsidR="000E234B" w:rsidRPr="00806F17">
        <w:rPr>
          <w:rFonts w:asciiTheme="majorHAnsi" w:hAnsiTheme="majorHAnsi" w:cstheme="majorHAnsi"/>
          <w:sz w:val="22"/>
          <w:lang w:val="de-AT"/>
        </w:rPr>
        <w:t xml:space="preserve"> zehn Geboten </w:t>
      </w:r>
      <w:r w:rsidR="001D7FEF" w:rsidRPr="00806F17">
        <w:rPr>
          <w:rFonts w:asciiTheme="majorHAnsi" w:hAnsiTheme="majorHAnsi" w:cstheme="majorHAnsi"/>
          <w:sz w:val="22"/>
          <w:lang w:val="de-AT"/>
        </w:rPr>
        <w:t xml:space="preserve">einen </w:t>
      </w:r>
      <w:r w:rsidR="008D2114" w:rsidRPr="00806F17">
        <w:rPr>
          <w:rFonts w:asciiTheme="majorHAnsi" w:hAnsiTheme="majorHAnsi" w:cstheme="majorHAnsi"/>
          <w:sz w:val="22"/>
          <w:lang w:val="de-AT"/>
        </w:rPr>
        <w:t xml:space="preserve">Lebens- und </w:t>
      </w:r>
      <w:r w:rsidR="001D7FEF" w:rsidRPr="00806F17">
        <w:rPr>
          <w:rFonts w:asciiTheme="majorHAnsi" w:hAnsiTheme="majorHAnsi" w:cstheme="majorHAnsi"/>
          <w:sz w:val="22"/>
          <w:lang w:val="de-AT"/>
        </w:rPr>
        <w:t>Lernweg mit uns</w:t>
      </w:r>
      <w:r w:rsidR="008D2114" w:rsidRPr="00806F17">
        <w:rPr>
          <w:rFonts w:asciiTheme="majorHAnsi" w:hAnsiTheme="majorHAnsi" w:cstheme="majorHAnsi"/>
          <w:sz w:val="22"/>
          <w:lang w:val="de-AT"/>
        </w:rPr>
        <w:t xml:space="preserve">. Schließlich schickt er uns </w:t>
      </w:r>
      <w:r w:rsidR="001D7FEF" w:rsidRPr="00806F17">
        <w:rPr>
          <w:rFonts w:asciiTheme="majorHAnsi" w:hAnsiTheme="majorHAnsi" w:cstheme="majorHAnsi"/>
          <w:sz w:val="22"/>
          <w:lang w:val="de-AT"/>
        </w:rPr>
        <w:t xml:space="preserve">in Jesus seinen eigenen Sohn, um zu vollenden, was durch das ganze erste Testament hindurch in die Menschen, also zunächst in das auserwählte Volk </w:t>
      </w:r>
      <w:r w:rsidR="008D2114" w:rsidRPr="00806F17">
        <w:rPr>
          <w:rFonts w:asciiTheme="majorHAnsi" w:hAnsiTheme="majorHAnsi" w:cstheme="majorHAnsi"/>
          <w:sz w:val="22"/>
          <w:lang w:val="de-AT"/>
        </w:rPr>
        <w:t>Israel</w:t>
      </w:r>
      <w:r w:rsidR="001D7FEF" w:rsidRPr="00806F17">
        <w:rPr>
          <w:rFonts w:asciiTheme="majorHAnsi" w:hAnsiTheme="majorHAnsi" w:cstheme="majorHAnsi"/>
          <w:sz w:val="22"/>
          <w:lang w:val="de-AT"/>
        </w:rPr>
        <w:t xml:space="preserve">, </w:t>
      </w:r>
      <w:r w:rsidR="008D2114" w:rsidRPr="00806F17">
        <w:rPr>
          <w:rFonts w:asciiTheme="majorHAnsi" w:hAnsiTheme="majorHAnsi" w:cstheme="majorHAnsi"/>
          <w:sz w:val="22"/>
          <w:lang w:val="de-AT"/>
        </w:rPr>
        <w:t>hinein</w:t>
      </w:r>
      <w:r w:rsidR="00C82736" w:rsidRPr="00806F17">
        <w:rPr>
          <w:rFonts w:asciiTheme="majorHAnsi" w:hAnsiTheme="majorHAnsi" w:cstheme="majorHAnsi"/>
          <w:sz w:val="22"/>
          <w:lang w:val="de-AT"/>
        </w:rPr>
        <w:t>gepflanzt</w:t>
      </w:r>
      <w:r w:rsidR="008D2114" w:rsidRPr="00806F17">
        <w:rPr>
          <w:rFonts w:asciiTheme="majorHAnsi" w:hAnsiTheme="majorHAnsi" w:cstheme="majorHAnsi"/>
          <w:sz w:val="22"/>
          <w:lang w:val="de-AT"/>
        </w:rPr>
        <w:t xml:space="preserve"> wurde: Die wachsende Erkenntnis des Ratschlusses Gottes.</w:t>
      </w:r>
      <w:r w:rsidR="001D7FEF" w:rsidRPr="00806F17">
        <w:rPr>
          <w:rFonts w:asciiTheme="majorHAnsi" w:hAnsiTheme="majorHAnsi" w:cstheme="majorHAnsi"/>
          <w:sz w:val="22"/>
          <w:lang w:val="de-AT"/>
        </w:rPr>
        <w:t xml:space="preserve"> </w:t>
      </w:r>
      <w:r w:rsidR="00B14F87" w:rsidRPr="00806F17">
        <w:rPr>
          <w:rFonts w:asciiTheme="majorHAnsi" w:hAnsiTheme="majorHAnsi" w:cstheme="majorHAnsi"/>
          <w:sz w:val="22"/>
          <w:lang w:val="de-AT"/>
        </w:rPr>
        <w:t xml:space="preserve">Das II. </w:t>
      </w:r>
      <w:proofErr w:type="gramStart"/>
      <w:r w:rsidR="00B14F87" w:rsidRPr="00806F17">
        <w:rPr>
          <w:rFonts w:asciiTheme="majorHAnsi" w:hAnsiTheme="majorHAnsi" w:cstheme="majorHAnsi"/>
          <w:sz w:val="22"/>
          <w:lang w:val="de-AT"/>
        </w:rPr>
        <w:t>Vatikanische</w:t>
      </w:r>
      <w:proofErr w:type="gramEnd"/>
      <w:r w:rsidR="00B14F87" w:rsidRPr="00806F17">
        <w:rPr>
          <w:rFonts w:asciiTheme="majorHAnsi" w:hAnsiTheme="majorHAnsi" w:cstheme="majorHAnsi"/>
          <w:sz w:val="22"/>
          <w:lang w:val="de-AT"/>
        </w:rPr>
        <w:t xml:space="preserve"> Konzil spricht sogar von der „wahren göttlichen Erziehungskunst“ (DV 15) in den Büchern der Bibel.</w:t>
      </w:r>
    </w:p>
    <w:p w:rsidR="000E234B" w:rsidRPr="00806F17" w:rsidRDefault="000E234B" w:rsidP="00806F17">
      <w:pPr>
        <w:jc w:val="both"/>
        <w:rPr>
          <w:rFonts w:asciiTheme="majorHAnsi" w:hAnsiTheme="majorHAnsi" w:cstheme="majorHAnsi"/>
          <w:sz w:val="22"/>
          <w:lang w:val="de-AT"/>
        </w:rPr>
      </w:pPr>
    </w:p>
    <w:p w:rsidR="006009A0" w:rsidRPr="00806F17" w:rsidRDefault="008723AC" w:rsidP="00806F17">
      <w:pPr>
        <w:jc w:val="both"/>
        <w:rPr>
          <w:rFonts w:asciiTheme="majorHAnsi" w:hAnsiTheme="majorHAnsi" w:cstheme="majorHAnsi"/>
          <w:sz w:val="22"/>
          <w:lang w:val="de-AT"/>
        </w:rPr>
      </w:pPr>
      <w:r w:rsidRPr="00806F17">
        <w:rPr>
          <w:rFonts w:asciiTheme="majorHAnsi" w:hAnsiTheme="majorHAnsi" w:cstheme="majorHAnsi"/>
          <w:sz w:val="22"/>
          <w:lang w:val="de-AT"/>
        </w:rPr>
        <w:t>Das Neue Testament beschreibt</w:t>
      </w:r>
      <w:r w:rsidR="001D7FEF" w:rsidRPr="00806F17">
        <w:rPr>
          <w:rFonts w:asciiTheme="majorHAnsi" w:hAnsiTheme="majorHAnsi" w:cstheme="majorHAnsi"/>
          <w:sz w:val="22"/>
          <w:lang w:val="de-AT"/>
        </w:rPr>
        <w:t xml:space="preserve"> diese pädagogische Weise Gottes mit uns, wenn </w:t>
      </w:r>
      <w:r w:rsidRPr="00806F17">
        <w:rPr>
          <w:rFonts w:asciiTheme="majorHAnsi" w:hAnsiTheme="majorHAnsi" w:cstheme="majorHAnsi"/>
          <w:sz w:val="22"/>
          <w:lang w:val="de-AT"/>
        </w:rPr>
        <w:t>es</w:t>
      </w:r>
      <w:r w:rsidR="001D7FEF" w:rsidRPr="00806F17">
        <w:rPr>
          <w:rFonts w:asciiTheme="majorHAnsi" w:hAnsiTheme="majorHAnsi" w:cstheme="majorHAnsi"/>
          <w:sz w:val="22"/>
          <w:lang w:val="de-AT"/>
        </w:rPr>
        <w:t xml:space="preserve"> davon spricht</w:t>
      </w:r>
      <w:r w:rsidRPr="00806F17">
        <w:rPr>
          <w:rFonts w:asciiTheme="majorHAnsi" w:hAnsiTheme="majorHAnsi" w:cstheme="majorHAnsi"/>
          <w:sz w:val="22"/>
          <w:lang w:val="de-AT"/>
        </w:rPr>
        <w:t>,</w:t>
      </w:r>
      <w:r w:rsidR="001D7FEF" w:rsidRPr="00806F17">
        <w:rPr>
          <w:rFonts w:asciiTheme="majorHAnsi" w:hAnsiTheme="majorHAnsi" w:cstheme="majorHAnsi"/>
          <w:sz w:val="22"/>
          <w:lang w:val="de-AT"/>
        </w:rPr>
        <w:t xml:space="preserve"> dass wir damals (in der Zeit des Ersten Bundes) wie </w:t>
      </w:r>
      <w:r w:rsidR="001430A3" w:rsidRPr="00806F17">
        <w:rPr>
          <w:rFonts w:asciiTheme="majorHAnsi" w:hAnsiTheme="majorHAnsi" w:cstheme="majorHAnsi"/>
          <w:sz w:val="22"/>
          <w:lang w:val="de-AT"/>
        </w:rPr>
        <w:t xml:space="preserve">unmündige </w:t>
      </w:r>
      <w:r w:rsidR="001D7FEF" w:rsidRPr="00806F17">
        <w:rPr>
          <w:rFonts w:asciiTheme="majorHAnsi" w:hAnsiTheme="majorHAnsi" w:cstheme="majorHAnsi"/>
          <w:sz w:val="22"/>
          <w:lang w:val="de-AT"/>
        </w:rPr>
        <w:t xml:space="preserve">Kinder waren, wie Kinder </w:t>
      </w:r>
      <w:r w:rsidR="00C82736" w:rsidRPr="00806F17">
        <w:rPr>
          <w:rFonts w:asciiTheme="majorHAnsi" w:hAnsiTheme="majorHAnsi" w:cstheme="majorHAnsi"/>
          <w:sz w:val="22"/>
          <w:lang w:val="de-AT"/>
        </w:rPr>
        <w:t>dachten</w:t>
      </w:r>
      <w:r w:rsidR="001D7FEF" w:rsidRPr="00806F17">
        <w:rPr>
          <w:rFonts w:asciiTheme="majorHAnsi" w:hAnsiTheme="majorHAnsi" w:cstheme="majorHAnsi"/>
          <w:sz w:val="22"/>
          <w:lang w:val="de-AT"/>
        </w:rPr>
        <w:t xml:space="preserve"> und </w:t>
      </w:r>
      <w:r w:rsidRPr="00806F17">
        <w:rPr>
          <w:rFonts w:asciiTheme="majorHAnsi" w:hAnsiTheme="majorHAnsi" w:cstheme="majorHAnsi"/>
          <w:sz w:val="22"/>
          <w:lang w:val="de-AT"/>
        </w:rPr>
        <w:t>urteilten</w:t>
      </w:r>
      <w:r w:rsidR="001D7FEF" w:rsidRPr="00806F17">
        <w:rPr>
          <w:rFonts w:asciiTheme="majorHAnsi" w:hAnsiTheme="majorHAnsi" w:cstheme="majorHAnsi"/>
          <w:sz w:val="22"/>
          <w:lang w:val="de-AT"/>
        </w:rPr>
        <w:t xml:space="preserve"> </w:t>
      </w:r>
      <w:r w:rsidRPr="00806F17">
        <w:rPr>
          <w:rFonts w:asciiTheme="majorHAnsi" w:hAnsiTheme="majorHAnsi" w:cstheme="majorHAnsi"/>
          <w:sz w:val="22"/>
          <w:lang w:val="de-AT"/>
        </w:rPr>
        <w:t xml:space="preserve">(vgl. 1 Kor 13,11). Nun aber sollen wir alles, was Kind war, ablegen und in der Erkenntnis Christi </w:t>
      </w:r>
      <w:r w:rsidRPr="00806F17">
        <w:rPr>
          <w:rFonts w:asciiTheme="majorHAnsi" w:hAnsiTheme="majorHAnsi" w:cstheme="majorHAnsi"/>
          <w:sz w:val="22"/>
          <w:lang w:val="de-AT"/>
        </w:rPr>
        <w:lastRenderedPageBreak/>
        <w:t xml:space="preserve">wachsen (2. Petr 3,18). Es ist dieses Wachstum in der Erkenntnis des göttlichen Willens, das uns schrittweise zu immer besserem </w:t>
      </w:r>
      <w:r w:rsidR="001D7FEF" w:rsidRPr="00806F17">
        <w:rPr>
          <w:rFonts w:asciiTheme="majorHAnsi" w:hAnsiTheme="majorHAnsi" w:cstheme="majorHAnsi"/>
          <w:sz w:val="22"/>
          <w:lang w:val="de-AT"/>
        </w:rPr>
        <w:t xml:space="preserve">Verständnis und </w:t>
      </w:r>
      <w:r w:rsidRPr="00806F17">
        <w:rPr>
          <w:rFonts w:asciiTheme="majorHAnsi" w:hAnsiTheme="majorHAnsi" w:cstheme="majorHAnsi"/>
          <w:sz w:val="22"/>
          <w:lang w:val="de-AT"/>
        </w:rPr>
        <w:t>darin auch zur Übernahme von mehr Verantwortung befähigen soll</w:t>
      </w:r>
      <w:r w:rsidR="001D7FEF" w:rsidRPr="00806F17">
        <w:rPr>
          <w:rFonts w:asciiTheme="majorHAnsi" w:hAnsiTheme="majorHAnsi" w:cstheme="majorHAnsi"/>
          <w:sz w:val="22"/>
          <w:lang w:val="de-AT"/>
        </w:rPr>
        <w:t xml:space="preserve">. Aber auch dieses christliche Erkennen fällt, wie uns die </w:t>
      </w:r>
      <w:r w:rsidR="00C82736" w:rsidRPr="00806F17">
        <w:rPr>
          <w:rFonts w:asciiTheme="majorHAnsi" w:hAnsiTheme="majorHAnsi" w:cstheme="majorHAnsi"/>
          <w:sz w:val="22"/>
          <w:lang w:val="de-AT"/>
        </w:rPr>
        <w:t>Kirchengeschichte</w:t>
      </w:r>
      <w:r w:rsidR="001D7FEF" w:rsidRPr="00806F17">
        <w:rPr>
          <w:rFonts w:asciiTheme="majorHAnsi" w:hAnsiTheme="majorHAnsi" w:cstheme="majorHAnsi"/>
          <w:sz w:val="22"/>
          <w:lang w:val="de-AT"/>
        </w:rPr>
        <w:t xml:space="preserve"> zeigt, immer wieder in Unkenntnis und Verwirrung zurück. </w:t>
      </w:r>
      <w:r w:rsidR="000E234B" w:rsidRPr="00806F17">
        <w:rPr>
          <w:rFonts w:asciiTheme="majorHAnsi" w:hAnsiTheme="majorHAnsi" w:cstheme="majorHAnsi"/>
          <w:sz w:val="22"/>
          <w:lang w:val="de-AT"/>
        </w:rPr>
        <w:t>D</w:t>
      </w:r>
      <w:r w:rsidR="001D7FEF" w:rsidRPr="00806F17">
        <w:rPr>
          <w:rFonts w:asciiTheme="majorHAnsi" w:hAnsiTheme="majorHAnsi" w:cstheme="majorHAnsi"/>
          <w:sz w:val="22"/>
          <w:lang w:val="de-AT"/>
        </w:rPr>
        <w:t>ie Ideen der personalen Würde des Menschen, der Religionsfreiheit und der Würde des Gewissens</w:t>
      </w:r>
      <w:r w:rsidR="000E234B" w:rsidRPr="00806F17">
        <w:rPr>
          <w:rFonts w:asciiTheme="majorHAnsi" w:hAnsiTheme="majorHAnsi" w:cstheme="majorHAnsi"/>
          <w:sz w:val="22"/>
          <w:lang w:val="de-AT"/>
        </w:rPr>
        <w:t xml:space="preserve"> sind</w:t>
      </w:r>
      <w:r w:rsidR="001D7FEF" w:rsidRPr="00806F17">
        <w:rPr>
          <w:rFonts w:asciiTheme="majorHAnsi" w:hAnsiTheme="majorHAnsi" w:cstheme="majorHAnsi"/>
          <w:sz w:val="22"/>
          <w:lang w:val="de-AT"/>
        </w:rPr>
        <w:t xml:space="preserve"> auch durch die </w:t>
      </w:r>
      <w:r w:rsidR="000E234B" w:rsidRPr="00806F17">
        <w:rPr>
          <w:rFonts w:asciiTheme="majorHAnsi" w:hAnsiTheme="majorHAnsi" w:cstheme="majorHAnsi"/>
          <w:sz w:val="22"/>
          <w:lang w:val="de-AT"/>
        </w:rPr>
        <w:t xml:space="preserve">Zeit der </w:t>
      </w:r>
      <w:r w:rsidR="001D7FEF" w:rsidRPr="00806F17">
        <w:rPr>
          <w:rFonts w:asciiTheme="majorHAnsi" w:hAnsiTheme="majorHAnsi" w:cstheme="majorHAnsi"/>
          <w:sz w:val="22"/>
          <w:lang w:val="de-AT"/>
        </w:rPr>
        <w:t xml:space="preserve">Aufklärung der Kirche </w:t>
      </w:r>
      <w:r w:rsidR="000E234B" w:rsidRPr="00806F17">
        <w:rPr>
          <w:rFonts w:asciiTheme="majorHAnsi" w:hAnsiTheme="majorHAnsi" w:cstheme="majorHAnsi"/>
          <w:sz w:val="22"/>
          <w:lang w:val="de-AT"/>
        </w:rPr>
        <w:t>neu</w:t>
      </w:r>
      <w:r w:rsidR="001D7FEF" w:rsidRPr="00806F17">
        <w:rPr>
          <w:rFonts w:asciiTheme="majorHAnsi" w:hAnsiTheme="majorHAnsi" w:cstheme="majorHAnsi"/>
          <w:sz w:val="22"/>
          <w:lang w:val="de-AT"/>
        </w:rPr>
        <w:t xml:space="preserve"> vor Augen geführt wurden</w:t>
      </w:r>
      <w:r w:rsidR="000E234B" w:rsidRPr="00806F17">
        <w:rPr>
          <w:rFonts w:asciiTheme="majorHAnsi" w:hAnsiTheme="majorHAnsi" w:cstheme="majorHAnsi"/>
          <w:sz w:val="22"/>
          <w:lang w:val="de-AT"/>
        </w:rPr>
        <w:t>.</w:t>
      </w:r>
      <w:r w:rsidR="001D7FEF" w:rsidRPr="00806F17">
        <w:rPr>
          <w:rFonts w:asciiTheme="majorHAnsi" w:hAnsiTheme="majorHAnsi" w:cstheme="majorHAnsi"/>
          <w:sz w:val="22"/>
          <w:lang w:val="de-AT"/>
        </w:rPr>
        <w:t xml:space="preserve"> </w:t>
      </w:r>
      <w:r w:rsidR="000E234B" w:rsidRPr="00806F17">
        <w:rPr>
          <w:rFonts w:asciiTheme="majorHAnsi" w:hAnsiTheme="majorHAnsi" w:cstheme="majorHAnsi"/>
          <w:sz w:val="22"/>
          <w:lang w:val="de-AT"/>
        </w:rPr>
        <w:t>Es ist</w:t>
      </w:r>
      <w:r w:rsidR="001D7FEF" w:rsidRPr="00806F17">
        <w:rPr>
          <w:rFonts w:asciiTheme="majorHAnsi" w:hAnsiTheme="majorHAnsi" w:cstheme="majorHAnsi"/>
          <w:sz w:val="22"/>
          <w:lang w:val="de-AT"/>
        </w:rPr>
        <w:t xml:space="preserve"> wirklich ein Wirken des Heiligen </w:t>
      </w:r>
      <w:r w:rsidR="000E234B" w:rsidRPr="00806F17">
        <w:rPr>
          <w:rFonts w:asciiTheme="majorHAnsi" w:hAnsiTheme="majorHAnsi" w:cstheme="majorHAnsi"/>
          <w:sz w:val="22"/>
          <w:lang w:val="de-AT"/>
        </w:rPr>
        <w:t>Geiste</w:t>
      </w:r>
      <w:r w:rsidR="001D7FEF" w:rsidRPr="00806F17">
        <w:rPr>
          <w:rFonts w:asciiTheme="majorHAnsi" w:hAnsiTheme="majorHAnsi" w:cstheme="majorHAnsi"/>
          <w:sz w:val="22"/>
          <w:lang w:val="de-AT"/>
        </w:rPr>
        <w:t xml:space="preserve">s, wenn wir </w:t>
      </w:r>
      <w:r w:rsidR="000E234B" w:rsidRPr="00806F17">
        <w:rPr>
          <w:rFonts w:asciiTheme="majorHAnsi" w:hAnsiTheme="majorHAnsi" w:cstheme="majorHAnsi"/>
          <w:sz w:val="22"/>
          <w:lang w:val="de-AT"/>
        </w:rPr>
        <w:t>in den</w:t>
      </w:r>
      <w:r w:rsidR="001D7FEF" w:rsidRPr="00806F17">
        <w:rPr>
          <w:rFonts w:asciiTheme="majorHAnsi" w:hAnsiTheme="majorHAnsi" w:cstheme="majorHAnsi"/>
          <w:sz w:val="22"/>
          <w:lang w:val="de-AT"/>
        </w:rPr>
        <w:t xml:space="preserve"> Dokumente</w:t>
      </w:r>
      <w:r w:rsidR="000E234B" w:rsidRPr="00806F17">
        <w:rPr>
          <w:rFonts w:asciiTheme="majorHAnsi" w:hAnsiTheme="majorHAnsi" w:cstheme="majorHAnsi"/>
          <w:sz w:val="22"/>
          <w:lang w:val="de-AT"/>
        </w:rPr>
        <w:t>n</w:t>
      </w:r>
      <w:r w:rsidR="008D2114" w:rsidRPr="00806F17">
        <w:rPr>
          <w:rFonts w:asciiTheme="majorHAnsi" w:hAnsiTheme="majorHAnsi" w:cstheme="majorHAnsi"/>
          <w:sz w:val="22"/>
          <w:lang w:val="de-AT"/>
        </w:rPr>
        <w:t xml:space="preserve"> des II. Vatikanischen</w:t>
      </w:r>
      <w:r w:rsidR="001D7FEF" w:rsidRPr="00806F17">
        <w:rPr>
          <w:rFonts w:asciiTheme="majorHAnsi" w:hAnsiTheme="majorHAnsi" w:cstheme="majorHAnsi"/>
          <w:sz w:val="22"/>
          <w:lang w:val="de-AT"/>
        </w:rPr>
        <w:t xml:space="preserve"> Konzils </w:t>
      </w:r>
      <w:r w:rsidR="000E234B" w:rsidRPr="00806F17">
        <w:rPr>
          <w:rFonts w:asciiTheme="majorHAnsi" w:hAnsiTheme="majorHAnsi" w:cstheme="majorHAnsi"/>
          <w:sz w:val="22"/>
          <w:lang w:val="de-AT"/>
        </w:rPr>
        <w:t>von der</w:t>
      </w:r>
      <w:r w:rsidR="001D7FEF" w:rsidRPr="00806F17">
        <w:rPr>
          <w:rFonts w:asciiTheme="majorHAnsi" w:hAnsiTheme="majorHAnsi" w:cstheme="majorHAnsi"/>
          <w:sz w:val="22"/>
          <w:lang w:val="de-AT"/>
        </w:rPr>
        <w:t xml:space="preserve"> Religionsfreiheit </w:t>
      </w:r>
      <w:r w:rsidR="000E234B" w:rsidRPr="00806F17">
        <w:rPr>
          <w:rFonts w:asciiTheme="majorHAnsi" w:hAnsiTheme="majorHAnsi" w:cstheme="majorHAnsi"/>
          <w:sz w:val="22"/>
          <w:lang w:val="de-AT"/>
        </w:rPr>
        <w:t>und</w:t>
      </w:r>
      <w:r w:rsidR="001D7FEF" w:rsidRPr="00806F17">
        <w:rPr>
          <w:rFonts w:asciiTheme="majorHAnsi" w:hAnsiTheme="majorHAnsi" w:cstheme="majorHAnsi"/>
          <w:sz w:val="22"/>
          <w:lang w:val="de-AT"/>
        </w:rPr>
        <w:t xml:space="preserve"> </w:t>
      </w:r>
      <w:r w:rsidR="000E234B" w:rsidRPr="00806F17">
        <w:rPr>
          <w:rFonts w:asciiTheme="majorHAnsi" w:hAnsiTheme="majorHAnsi" w:cstheme="majorHAnsi"/>
          <w:sz w:val="22"/>
          <w:lang w:val="de-AT"/>
        </w:rPr>
        <w:t>der</w:t>
      </w:r>
      <w:r w:rsidR="001D7FEF" w:rsidRPr="00806F17">
        <w:rPr>
          <w:rFonts w:asciiTheme="majorHAnsi" w:hAnsiTheme="majorHAnsi" w:cstheme="majorHAnsi"/>
          <w:sz w:val="22"/>
          <w:lang w:val="de-AT"/>
        </w:rPr>
        <w:t xml:space="preserve"> Wahrheit in den anderen Religionen lesen.</w:t>
      </w:r>
    </w:p>
    <w:p w:rsidR="006009A0" w:rsidRPr="00806F17" w:rsidRDefault="006009A0" w:rsidP="00806F17">
      <w:pPr>
        <w:jc w:val="both"/>
        <w:rPr>
          <w:rFonts w:asciiTheme="majorHAnsi" w:hAnsiTheme="majorHAnsi" w:cstheme="majorHAnsi"/>
          <w:sz w:val="22"/>
          <w:lang w:val="de-AT"/>
        </w:rPr>
      </w:pPr>
    </w:p>
    <w:p w:rsidR="006009A0" w:rsidRPr="00806F17" w:rsidRDefault="001D7FEF" w:rsidP="00806F17">
      <w:pPr>
        <w:jc w:val="both"/>
        <w:rPr>
          <w:rFonts w:asciiTheme="majorHAnsi" w:hAnsiTheme="majorHAnsi" w:cstheme="majorHAnsi"/>
          <w:sz w:val="22"/>
          <w:lang w:val="de-AT"/>
        </w:rPr>
      </w:pPr>
      <w:r w:rsidRPr="00806F17">
        <w:rPr>
          <w:rFonts w:asciiTheme="majorHAnsi" w:hAnsiTheme="majorHAnsi" w:cstheme="majorHAnsi"/>
          <w:sz w:val="22"/>
          <w:lang w:val="de-AT"/>
        </w:rPr>
        <w:t xml:space="preserve">Kommen wir zurück zu der UN-Menschenrechtsdeklaration. Sie ist nur verstehbar aus der Geistesgeschichte unseres Kontinents heraus. So einsichtig sie aus philosophischer Deduktion zu vermitteln ist, wie jede Philosophie muss auch eine </w:t>
      </w:r>
      <w:r w:rsidR="00C82736" w:rsidRPr="00806F17">
        <w:rPr>
          <w:rFonts w:asciiTheme="majorHAnsi" w:hAnsiTheme="majorHAnsi" w:cstheme="majorHAnsi"/>
          <w:sz w:val="22"/>
          <w:lang w:val="de-AT"/>
        </w:rPr>
        <w:t>Untermauerung</w:t>
      </w:r>
      <w:r w:rsidRPr="00806F17">
        <w:rPr>
          <w:rFonts w:asciiTheme="majorHAnsi" w:hAnsiTheme="majorHAnsi" w:cstheme="majorHAnsi"/>
          <w:sz w:val="22"/>
          <w:lang w:val="de-AT"/>
        </w:rPr>
        <w:t xml:space="preserve"> der Religionsfreiheit und der UN-Menschenrechtsdeklaration anerkenne</w:t>
      </w:r>
      <w:r w:rsidR="00AF7C94" w:rsidRPr="00806F17">
        <w:rPr>
          <w:rFonts w:asciiTheme="majorHAnsi" w:hAnsiTheme="majorHAnsi" w:cstheme="majorHAnsi"/>
          <w:sz w:val="22"/>
          <w:lang w:val="de-AT"/>
        </w:rPr>
        <w:t>n</w:t>
      </w:r>
      <w:r w:rsidRPr="00806F17">
        <w:rPr>
          <w:rFonts w:asciiTheme="majorHAnsi" w:hAnsiTheme="majorHAnsi" w:cstheme="majorHAnsi"/>
          <w:sz w:val="22"/>
          <w:lang w:val="de-AT"/>
        </w:rPr>
        <w:t>, dass andere Kulturen und Denkschulen möglicherweise zu anderen Schlüssen kommen können. Wie jede Philosoph</w:t>
      </w:r>
      <w:r w:rsidR="00C82736" w:rsidRPr="00806F17">
        <w:rPr>
          <w:rFonts w:asciiTheme="majorHAnsi" w:hAnsiTheme="majorHAnsi" w:cstheme="majorHAnsi"/>
          <w:sz w:val="22"/>
          <w:lang w:val="de-AT"/>
        </w:rPr>
        <w:t>ie kann auch die Menschenrecht</w:t>
      </w:r>
      <w:r w:rsidRPr="00806F17">
        <w:rPr>
          <w:rFonts w:asciiTheme="majorHAnsi" w:hAnsiTheme="majorHAnsi" w:cstheme="majorHAnsi"/>
          <w:sz w:val="22"/>
          <w:lang w:val="de-AT"/>
        </w:rPr>
        <w:t xml:space="preserve">sphilosophie keine ewige Wahrheit beanspruchen. Es sei den, sie begründet sich, wie es ja </w:t>
      </w:r>
      <w:r w:rsidR="000E234B" w:rsidRPr="00806F17">
        <w:rPr>
          <w:rFonts w:asciiTheme="majorHAnsi" w:hAnsiTheme="majorHAnsi" w:cstheme="majorHAnsi"/>
          <w:sz w:val="22"/>
          <w:lang w:val="de-AT"/>
        </w:rPr>
        <w:t xml:space="preserve">der Rechtsphilosoph </w:t>
      </w:r>
      <w:r w:rsidRPr="00806F17">
        <w:rPr>
          <w:rFonts w:asciiTheme="majorHAnsi" w:hAnsiTheme="majorHAnsi" w:cstheme="majorHAnsi"/>
          <w:sz w:val="22"/>
          <w:lang w:val="de-AT"/>
        </w:rPr>
        <w:t xml:space="preserve">Böckenförde für unser ganzes demokratisches System aufzeigt, aus Werten </w:t>
      </w:r>
      <w:r w:rsidR="000E234B" w:rsidRPr="00806F17">
        <w:rPr>
          <w:rFonts w:asciiTheme="majorHAnsi" w:hAnsiTheme="majorHAnsi" w:cstheme="majorHAnsi"/>
          <w:sz w:val="22"/>
          <w:lang w:val="de-AT"/>
        </w:rPr>
        <w:t>außerhalb</w:t>
      </w:r>
      <w:r w:rsidRPr="00806F17">
        <w:rPr>
          <w:rFonts w:asciiTheme="majorHAnsi" w:hAnsiTheme="majorHAnsi" w:cstheme="majorHAnsi"/>
          <w:sz w:val="22"/>
          <w:lang w:val="de-AT"/>
        </w:rPr>
        <w:t xml:space="preserve"> ihrer selbst, also aus Werten, die nicht beliebig durch Mehrheitsentscheide wieder rückgängig gemacht werden können. Solche Wahrheitswerte können aber nur von </w:t>
      </w:r>
      <w:r w:rsidR="000E234B" w:rsidRPr="00806F17">
        <w:rPr>
          <w:rFonts w:asciiTheme="majorHAnsi" w:hAnsiTheme="majorHAnsi" w:cstheme="majorHAnsi"/>
          <w:sz w:val="22"/>
          <w:lang w:val="de-AT"/>
        </w:rPr>
        <w:t>außerhalb</w:t>
      </w:r>
      <w:r w:rsidRPr="00806F17">
        <w:rPr>
          <w:rFonts w:asciiTheme="majorHAnsi" w:hAnsiTheme="majorHAnsi" w:cstheme="majorHAnsi"/>
          <w:sz w:val="22"/>
          <w:lang w:val="de-AT"/>
        </w:rPr>
        <w:t xml:space="preserve"> des Menschen kommen, sollen sie nicht durch den Menschen auch wieder abgeschafft werden können. Das vermögen aber nur religiöse, also im Numinosen und</w:t>
      </w:r>
      <w:r w:rsidR="00AF7C94" w:rsidRPr="00806F17">
        <w:rPr>
          <w:rFonts w:asciiTheme="majorHAnsi" w:hAnsiTheme="majorHAnsi" w:cstheme="majorHAnsi"/>
          <w:sz w:val="22"/>
          <w:lang w:val="de-AT"/>
        </w:rPr>
        <w:t xml:space="preserve"> seiner Offenbarung in der Welt</w:t>
      </w:r>
      <w:r w:rsidRPr="00806F17">
        <w:rPr>
          <w:rFonts w:asciiTheme="majorHAnsi" w:hAnsiTheme="majorHAnsi" w:cstheme="majorHAnsi"/>
          <w:sz w:val="22"/>
          <w:lang w:val="de-AT"/>
        </w:rPr>
        <w:t xml:space="preserve"> verankerte</w:t>
      </w:r>
      <w:r w:rsidR="00AF7C94" w:rsidRPr="00806F17">
        <w:rPr>
          <w:rFonts w:asciiTheme="majorHAnsi" w:hAnsiTheme="majorHAnsi" w:cstheme="majorHAnsi"/>
          <w:sz w:val="22"/>
          <w:lang w:val="de-AT"/>
        </w:rPr>
        <w:t>,</w:t>
      </w:r>
      <w:r w:rsidRPr="00806F17">
        <w:rPr>
          <w:rFonts w:asciiTheme="majorHAnsi" w:hAnsiTheme="majorHAnsi" w:cstheme="majorHAnsi"/>
          <w:sz w:val="22"/>
          <w:lang w:val="de-AT"/>
        </w:rPr>
        <w:t xml:space="preserve"> Grundwerte zu leisten. </w:t>
      </w:r>
      <w:r w:rsidR="000E234B" w:rsidRPr="00806F17">
        <w:rPr>
          <w:rFonts w:asciiTheme="majorHAnsi" w:hAnsiTheme="majorHAnsi" w:cstheme="majorHAnsi"/>
          <w:sz w:val="22"/>
          <w:lang w:val="de-AT"/>
        </w:rPr>
        <w:t>Auch</w:t>
      </w:r>
      <w:r w:rsidRPr="00806F17">
        <w:rPr>
          <w:rFonts w:asciiTheme="majorHAnsi" w:hAnsiTheme="majorHAnsi" w:cstheme="majorHAnsi"/>
          <w:sz w:val="22"/>
          <w:lang w:val="de-AT"/>
        </w:rPr>
        <w:t xml:space="preserve"> diese </w:t>
      </w:r>
      <w:r w:rsidR="000E234B" w:rsidRPr="00806F17">
        <w:rPr>
          <w:rFonts w:asciiTheme="majorHAnsi" w:hAnsiTheme="majorHAnsi" w:cstheme="majorHAnsi"/>
          <w:sz w:val="22"/>
          <w:lang w:val="de-AT"/>
        </w:rPr>
        <w:t xml:space="preserve">müssen </w:t>
      </w:r>
      <w:r w:rsidRPr="00806F17">
        <w:rPr>
          <w:rFonts w:asciiTheme="majorHAnsi" w:hAnsiTheme="majorHAnsi" w:cstheme="majorHAnsi"/>
          <w:sz w:val="22"/>
          <w:lang w:val="de-AT"/>
        </w:rPr>
        <w:t>- um vor dem Menschen glaubwürdig sein zu können - rational begründbar sein, zumindest aber der Vernunft nicht widersprechen, also denkmöglich begründbar sein</w:t>
      </w:r>
      <w:r w:rsidR="000E234B" w:rsidRPr="00806F17">
        <w:rPr>
          <w:rFonts w:asciiTheme="majorHAnsi" w:hAnsiTheme="majorHAnsi" w:cstheme="majorHAnsi"/>
          <w:sz w:val="22"/>
          <w:lang w:val="de-AT"/>
        </w:rPr>
        <w:t>.</w:t>
      </w:r>
      <w:r w:rsidRPr="00806F17">
        <w:rPr>
          <w:rFonts w:asciiTheme="majorHAnsi" w:hAnsiTheme="majorHAnsi" w:cstheme="majorHAnsi"/>
          <w:sz w:val="22"/>
          <w:lang w:val="de-AT"/>
        </w:rPr>
        <w:t xml:space="preserve"> </w:t>
      </w:r>
    </w:p>
    <w:p w:rsidR="000E234B" w:rsidRPr="00806F17" w:rsidRDefault="000E234B" w:rsidP="00806F17">
      <w:pPr>
        <w:jc w:val="both"/>
        <w:rPr>
          <w:rFonts w:asciiTheme="majorHAnsi" w:hAnsiTheme="majorHAnsi" w:cstheme="majorHAnsi"/>
          <w:sz w:val="22"/>
          <w:lang w:val="de-AT"/>
        </w:rPr>
      </w:pPr>
    </w:p>
    <w:p w:rsidR="000E234B" w:rsidRPr="00806F17" w:rsidRDefault="001D7FEF" w:rsidP="00806F17">
      <w:pPr>
        <w:jc w:val="both"/>
        <w:rPr>
          <w:rFonts w:asciiTheme="majorHAnsi" w:hAnsiTheme="majorHAnsi" w:cstheme="majorHAnsi"/>
          <w:sz w:val="22"/>
          <w:lang w:val="de-AT"/>
        </w:rPr>
      </w:pPr>
      <w:r w:rsidRPr="00806F17">
        <w:rPr>
          <w:rFonts w:asciiTheme="majorHAnsi" w:hAnsiTheme="majorHAnsi" w:cstheme="majorHAnsi"/>
          <w:sz w:val="22"/>
          <w:lang w:val="de-AT"/>
        </w:rPr>
        <w:t xml:space="preserve">Konkret im Bezug auf die Menschenrechte bedeutet das, dass wir auch mit ihnen in einem pädagogischen Dilemma </w:t>
      </w:r>
      <w:r w:rsidR="000E234B" w:rsidRPr="00806F17">
        <w:rPr>
          <w:rFonts w:asciiTheme="majorHAnsi" w:hAnsiTheme="majorHAnsi" w:cstheme="majorHAnsi"/>
          <w:sz w:val="22"/>
          <w:lang w:val="de-AT"/>
        </w:rPr>
        <w:t xml:space="preserve">des Lernprozesses </w:t>
      </w:r>
      <w:r w:rsidRPr="00806F17">
        <w:rPr>
          <w:rFonts w:asciiTheme="majorHAnsi" w:hAnsiTheme="majorHAnsi" w:cstheme="majorHAnsi"/>
          <w:sz w:val="22"/>
          <w:lang w:val="de-AT"/>
        </w:rPr>
        <w:t xml:space="preserve">stehen. Denn für den </w:t>
      </w:r>
      <w:r w:rsidR="00C82736" w:rsidRPr="00806F17">
        <w:rPr>
          <w:rFonts w:asciiTheme="majorHAnsi" w:hAnsiTheme="majorHAnsi" w:cstheme="majorHAnsi"/>
          <w:sz w:val="22"/>
          <w:lang w:val="de-AT"/>
        </w:rPr>
        <w:t>größeren</w:t>
      </w:r>
      <w:r w:rsidRPr="00806F17">
        <w:rPr>
          <w:rFonts w:asciiTheme="majorHAnsi" w:hAnsiTheme="majorHAnsi" w:cstheme="majorHAnsi"/>
          <w:sz w:val="22"/>
          <w:lang w:val="de-AT"/>
        </w:rPr>
        <w:t xml:space="preserve"> Tel der Menschheit sind unsere westlichen Menschenrechtsgedanken nur in Teilen nachvollziehbar. Der </w:t>
      </w:r>
      <w:r w:rsidR="00C82736" w:rsidRPr="00806F17">
        <w:rPr>
          <w:rFonts w:asciiTheme="majorHAnsi" w:hAnsiTheme="majorHAnsi" w:cstheme="majorHAnsi"/>
          <w:sz w:val="22"/>
          <w:lang w:val="de-AT"/>
        </w:rPr>
        <w:t>asiatische</w:t>
      </w:r>
      <w:r w:rsidRPr="00806F17">
        <w:rPr>
          <w:rFonts w:asciiTheme="majorHAnsi" w:hAnsiTheme="majorHAnsi" w:cstheme="majorHAnsi"/>
          <w:sz w:val="22"/>
          <w:lang w:val="de-AT"/>
        </w:rPr>
        <w:t xml:space="preserve"> Konfuzianismus und Buddhismus ebenso wie Hinduismus und Islam können die ideelle Hochform einer individuell der einzelnen Person </w:t>
      </w:r>
      <w:r w:rsidR="000E234B" w:rsidRPr="00806F17">
        <w:rPr>
          <w:rFonts w:asciiTheme="majorHAnsi" w:hAnsiTheme="majorHAnsi" w:cstheme="majorHAnsi"/>
          <w:sz w:val="22"/>
          <w:lang w:val="de-AT"/>
        </w:rPr>
        <w:t xml:space="preserve">- </w:t>
      </w:r>
      <w:r w:rsidRPr="00806F17">
        <w:rPr>
          <w:rFonts w:asciiTheme="majorHAnsi" w:hAnsiTheme="majorHAnsi" w:cstheme="majorHAnsi"/>
          <w:sz w:val="22"/>
          <w:lang w:val="de-AT"/>
        </w:rPr>
        <w:t xml:space="preserve">auch im Konflikt mit der ganzen Gesellschaft </w:t>
      </w:r>
      <w:r w:rsidR="000E234B" w:rsidRPr="00806F17">
        <w:rPr>
          <w:rFonts w:asciiTheme="majorHAnsi" w:hAnsiTheme="majorHAnsi" w:cstheme="majorHAnsi"/>
          <w:sz w:val="22"/>
          <w:lang w:val="de-AT"/>
        </w:rPr>
        <w:t xml:space="preserve">- </w:t>
      </w:r>
      <w:r w:rsidRPr="00806F17">
        <w:rPr>
          <w:rFonts w:asciiTheme="majorHAnsi" w:hAnsiTheme="majorHAnsi" w:cstheme="majorHAnsi"/>
          <w:sz w:val="22"/>
          <w:lang w:val="de-AT"/>
        </w:rPr>
        <w:t xml:space="preserve">zustehenden Religionsfreiheit nicht folgen. Aus dem Gebot der Religionsfreiheit wird so eine anzuzielende Vision, eine </w:t>
      </w:r>
      <w:r w:rsidR="00C82736" w:rsidRPr="00806F17">
        <w:rPr>
          <w:rFonts w:asciiTheme="majorHAnsi" w:hAnsiTheme="majorHAnsi" w:cstheme="majorHAnsi"/>
          <w:sz w:val="22"/>
          <w:lang w:val="de-AT"/>
        </w:rPr>
        <w:t>Hochform</w:t>
      </w:r>
      <w:r w:rsidRPr="00806F17">
        <w:rPr>
          <w:rFonts w:asciiTheme="majorHAnsi" w:hAnsiTheme="majorHAnsi" w:cstheme="majorHAnsi"/>
          <w:sz w:val="22"/>
          <w:lang w:val="de-AT"/>
        </w:rPr>
        <w:t xml:space="preserve">, die (noch) nicht von allen Kulturen und Religionen </w:t>
      </w:r>
      <w:r w:rsidR="00C82736" w:rsidRPr="00806F17">
        <w:rPr>
          <w:rFonts w:asciiTheme="majorHAnsi" w:hAnsiTheme="majorHAnsi" w:cstheme="majorHAnsi"/>
          <w:sz w:val="22"/>
          <w:lang w:val="de-AT"/>
        </w:rPr>
        <w:t>geteilt</w:t>
      </w:r>
      <w:r w:rsidRPr="00806F17">
        <w:rPr>
          <w:rFonts w:asciiTheme="majorHAnsi" w:hAnsiTheme="majorHAnsi" w:cstheme="majorHAnsi"/>
          <w:sz w:val="22"/>
          <w:lang w:val="de-AT"/>
        </w:rPr>
        <w:t xml:space="preserve"> wird. Wie der ganze Weg der Lernprozesse mit Gottes Willen und Weisung im Alten Testament ist auch der Weg zu universellen Menschenrechten erst </w:t>
      </w:r>
      <w:r w:rsidR="00C82736" w:rsidRPr="00806F17">
        <w:rPr>
          <w:rFonts w:asciiTheme="majorHAnsi" w:hAnsiTheme="majorHAnsi" w:cstheme="majorHAnsi"/>
          <w:sz w:val="22"/>
          <w:lang w:val="de-AT"/>
        </w:rPr>
        <w:t>beschritten</w:t>
      </w:r>
      <w:r w:rsidR="000E234B" w:rsidRPr="00806F17">
        <w:rPr>
          <w:rFonts w:asciiTheme="majorHAnsi" w:hAnsiTheme="majorHAnsi" w:cstheme="majorHAnsi"/>
          <w:sz w:val="22"/>
          <w:lang w:val="de-AT"/>
        </w:rPr>
        <w:t>, nicht</w:t>
      </w:r>
      <w:r w:rsidRPr="00806F17">
        <w:rPr>
          <w:rFonts w:asciiTheme="majorHAnsi" w:hAnsiTheme="majorHAnsi" w:cstheme="majorHAnsi"/>
          <w:sz w:val="22"/>
          <w:lang w:val="de-AT"/>
        </w:rPr>
        <w:t xml:space="preserve"> vollendet. Ermutigend ist nur, dass im Austausch mit der westlichen und auch der christlichen Kultur z.B. die islamischen Staaten den Weg zu einer grundlegenderen Sicht der </w:t>
      </w:r>
      <w:r w:rsidR="00C82736" w:rsidRPr="00806F17">
        <w:rPr>
          <w:rFonts w:asciiTheme="majorHAnsi" w:hAnsiTheme="majorHAnsi" w:cstheme="majorHAnsi"/>
          <w:sz w:val="22"/>
          <w:lang w:val="de-AT"/>
        </w:rPr>
        <w:t>Religionsfreiheit</w:t>
      </w:r>
      <w:r w:rsidRPr="00806F17">
        <w:rPr>
          <w:rFonts w:asciiTheme="majorHAnsi" w:hAnsiTheme="majorHAnsi" w:cstheme="majorHAnsi"/>
          <w:sz w:val="22"/>
          <w:lang w:val="de-AT"/>
        </w:rPr>
        <w:t xml:space="preserve"> im Licht des </w:t>
      </w:r>
      <w:proofErr w:type="gramStart"/>
      <w:r w:rsidRPr="00806F17">
        <w:rPr>
          <w:rFonts w:asciiTheme="majorHAnsi" w:hAnsiTheme="majorHAnsi" w:cstheme="majorHAnsi"/>
          <w:sz w:val="22"/>
          <w:lang w:val="de-AT"/>
        </w:rPr>
        <w:t>Koran</w:t>
      </w:r>
      <w:proofErr w:type="gramEnd"/>
      <w:r w:rsidRPr="00806F17">
        <w:rPr>
          <w:rFonts w:asciiTheme="majorHAnsi" w:hAnsiTheme="majorHAnsi" w:cstheme="majorHAnsi"/>
          <w:sz w:val="22"/>
          <w:lang w:val="de-AT"/>
        </w:rPr>
        <w:t xml:space="preserve"> beschritten haben. Hat die Islamische Menschenrechtserklärung (die Kairoer Erklärung) von 1990 noch alle </w:t>
      </w:r>
      <w:proofErr w:type="gramStart"/>
      <w:r w:rsidRPr="00806F17">
        <w:rPr>
          <w:rFonts w:asciiTheme="majorHAnsi" w:hAnsiTheme="majorHAnsi" w:cstheme="majorHAnsi"/>
          <w:sz w:val="22"/>
          <w:lang w:val="de-AT"/>
        </w:rPr>
        <w:t>Menschenrechte</w:t>
      </w:r>
      <w:proofErr w:type="gramEnd"/>
      <w:r w:rsidRPr="00806F17">
        <w:rPr>
          <w:rFonts w:asciiTheme="majorHAnsi" w:hAnsiTheme="majorHAnsi" w:cstheme="majorHAnsi"/>
          <w:sz w:val="22"/>
          <w:lang w:val="de-AT"/>
        </w:rPr>
        <w:t xml:space="preserve"> grundsätzlich der Scharia, dem islamischen Recht, untergeordnet, so hat die Arabische Charta der </w:t>
      </w:r>
      <w:r w:rsidR="00C82736" w:rsidRPr="00806F17">
        <w:rPr>
          <w:rFonts w:asciiTheme="majorHAnsi" w:hAnsiTheme="majorHAnsi" w:cstheme="majorHAnsi"/>
          <w:sz w:val="22"/>
          <w:lang w:val="de-AT"/>
        </w:rPr>
        <w:t>Menschenrecht</w:t>
      </w:r>
      <w:r w:rsidRPr="00806F17">
        <w:rPr>
          <w:rFonts w:asciiTheme="majorHAnsi" w:hAnsiTheme="majorHAnsi" w:cstheme="majorHAnsi"/>
          <w:sz w:val="22"/>
          <w:lang w:val="de-AT"/>
        </w:rPr>
        <w:t xml:space="preserve"> von 2004 eine weitgehende An</w:t>
      </w:r>
      <w:r w:rsidR="000E234B" w:rsidRPr="00806F17">
        <w:rPr>
          <w:rFonts w:asciiTheme="majorHAnsi" w:hAnsiTheme="majorHAnsi" w:cstheme="majorHAnsi"/>
          <w:sz w:val="22"/>
          <w:lang w:val="de-AT"/>
        </w:rPr>
        <w:t>näherung</w:t>
      </w:r>
      <w:r w:rsidRPr="00806F17">
        <w:rPr>
          <w:rFonts w:asciiTheme="majorHAnsi" w:hAnsiTheme="majorHAnsi" w:cstheme="majorHAnsi"/>
          <w:sz w:val="22"/>
          <w:lang w:val="de-AT"/>
        </w:rPr>
        <w:t xml:space="preserve"> an die UN-Menschenrechtsstandards </w:t>
      </w:r>
      <w:r w:rsidR="000E234B" w:rsidRPr="00806F17">
        <w:rPr>
          <w:rFonts w:asciiTheme="majorHAnsi" w:hAnsiTheme="majorHAnsi" w:cstheme="majorHAnsi"/>
          <w:sz w:val="22"/>
          <w:lang w:val="de-AT"/>
        </w:rPr>
        <w:t xml:space="preserve">von 1948 </w:t>
      </w:r>
      <w:r w:rsidRPr="00806F17">
        <w:rPr>
          <w:rFonts w:asciiTheme="majorHAnsi" w:hAnsiTheme="majorHAnsi" w:cstheme="majorHAnsi"/>
          <w:sz w:val="22"/>
          <w:lang w:val="de-AT"/>
        </w:rPr>
        <w:t>gebracht</w:t>
      </w:r>
      <w:r w:rsidR="000E234B" w:rsidRPr="00806F17">
        <w:rPr>
          <w:rFonts w:asciiTheme="majorHAnsi" w:hAnsiTheme="majorHAnsi" w:cstheme="majorHAnsi"/>
          <w:sz w:val="22"/>
          <w:lang w:val="de-AT"/>
        </w:rPr>
        <w:t xml:space="preserve"> – zumindest in der Theorie</w:t>
      </w:r>
      <w:r w:rsidRPr="00806F17">
        <w:rPr>
          <w:rFonts w:asciiTheme="majorHAnsi" w:hAnsiTheme="majorHAnsi" w:cstheme="majorHAnsi"/>
          <w:sz w:val="22"/>
          <w:lang w:val="de-AT"/>
        </w:rPr>
        <w:t xml:space="preserve">. </w:t>
      </w:r>
    </w:p>
    <w:p w:rsidR="000E234B" w:rsidRPr="00806F17" w:rsidRDefault="000E234B" w:rsidP="00806F17">
      <w:pPr>
        <w:jc w:val="both"/>
        <w:rPr>
          <w:rFonts w:asciiTheme="majorHAnsi" w:hAnsiTheme="majorHAnsi" w:cstheme="majorHAnsi"/>
          <w:sz w:val="22"/>
          <w:lang w:val="de-AT"/>
        </w:rPr>
      </w:pPr>
    </w:p>
    <w:p w:rsidR="005B1097" w:rsidRPr="00806F17" w:rsidRDefault="001D7FEF" w:rsidP="00806F17">
      <w:pPr>
        <w:jc w:val="both"/>
        <w:rPr>
          <w:rFonts w:asciiTheme="majorHAnsi" w:hAnsiTheme="majorHAnsi" w:cstheme="majorHAnsi"/>
          <w:sz w:val="22"/>
          <w:lang w:val="de-AT"/>
        </w:rPr>
      </w:pPr>
      <w:r w:rsidRPr="00806F17">
        <w:rPr>
          <w:rFonts w:asciiTheme="majorHAnsi" w:hAnsiTheme="majorHAnsi" w:cstheme="majorHAnsi"/>
          <w:sz w:val="22"/>
          <w:lang w:val="de-AT"/>
        </w:rPr>
        <w:t xml:space="preserve">Überall dort, wo Menschen und Kultur- sowie Religionsgemeinschaften </w:t>
      </w:r>
      <w:r w:rsidR="00C82736" w:rsidRPr="00806F17">
        <w:rPr>
          <w:rFonts w:asciiTheme="majorHAnsi" w:hAnsiTheme="majorHAnsi" w:cstheme="majorHAnsi"/>
          <w:sz w:val="22"/>
          <w:lang w:val="de-AT"/>
        </w:rPr>
        <w:t xml:space="preserve">miteinander in den Dialog treten, </w:t>
      </w:r>
      <w:r w:rsidRPr="00806F17">
        <w:rPr>
          <w:rFonts w:asciiTheme="majorHAnsi" w:hAnsiTheme="majorHAnsi" w:cstheme="majorHAnsi"/>
          <w:sz w:val="22"/>
          <w:lang w:val="de-AT"/>
        </w:rPr>
        <w:t xml:space="preserve">ist der Weg zu einem gegenseitigen Lernprozess eröffnet. Wo der Dialog verweigert wird, ist der Rückfall in die </w:t>
      </w:r>
      <w:proofErr w:type="spellStart"/>
      <w:r w:rsidRPr="00806F17">
        <w:rPr>
          <w:rFonts w:asciiTheme="majorHAnsi" w:hAnsiTheme="majorHAnsi" w:cstheme="majorHAnsi"/>
          <w:sz w:val="22"/>
          <w:lang w:val="de-AT"/>
        </w:rPr>
        <w:t>Absolutsetzung</w:t>
      </w:r>
      <w:proofErr w:type="spellEnd"/>
      <w:r w:rsidRPr="00806F17">
        <w:rPr>
          <w:rFonts w:asciiTheme="majorHAnsi" w:hAnsiTheme="majorHAnsi" w:cstheme="majorHAnsi"/>
          <w:sz w:val="22"/>
          <w:lang w:val="de-AT"/>
        </w:rPr>
        <w:t xml:space="preserve"> der eigenen Standards unausweichlich. </w:t>
      </w:r>
      <w:r w:rsidR="00B14F87" w:rsidRPr="00806F17">
        <w:rPr>
          <w:rFonts w:asciiTheme="majorHAnsi" w:hAnsiTheme="majorHAnsi" w:cstheme="majorHAnsi"/>
          <w:sz w:val="22"/>
          <w:lang w:val="de-AT"/>
        </w:rPr>
        <w:t xml:space="preserve">Das meint wohl auch das Konzil, wenn es davon spricht, dass selbst die Feindschaft ihrer  Gegner und Verfolger... für sie </w:t>
      </w:r>
      <w:r w:rsidR="00972073" w:rsidRPr="00806F17">
        <w:rPr>
          <w:rFonts w:asciiTheme="majorHAnsi" w:hAnsiTheme="majorHAnsi" w:cstheme="majorHAnsi"/>
          <w:sz w:val="22"/>
          <w:lang w:val="de-AT"/>
        </w:rPr>
        <w:t xml:space="preserve">(also die Kirche) </w:t>
      </w:r>
      <w:r w:rsidR="00B14F87" w:rsidRPr="00806F17">
        <w:rPr>
          <w:rFonts w:asciiTheme="majorHAnsi" w:hAnsiTheme="majorHAnsi" w:cstheme="majorHAnsi"/>
          <w:sz w:val="22"/>
          <w:lang w:val="de-AT"/>
        </w:rPr>
        <w:t>sehr nützlich (war) und...bleiben (wird) (GS44).</w:t>
      </w:r>
    </w:p>
    <w:p w:rsidR="005B1097" w:rsidRPr="00806F17" w:rsidRDefault="005B1097" w:rsidP="00806F17">
      <w:pPr>
        <w:jc w:val="both"/>
        <w:rPr>
          <w:rFonts w:asciiTheme="majorHAnsi" w:hAnsiTheme="majorHAnsi" w:cstheme="majorHAnsi"/>
          <w:sz w:val="22"/>
          <w:lang w:val="de-AT"/>
        </w:rPr>
      </w:pPr>
    </w:p>
    <w:p w:rsidR="005B1097" w:rsidRPr="00806F17" w:rsidRDefault="001D7FEF" w:rsidP="00806F17">
      <w:pPr>
        <w:jc w:val="both"/>
        <w:rPr>
          <w:rFonts w:asciiTheme="majorHAnsi" w:hAnsiTheme="majorHAnsi" w:cstheme="majorHAnsi"/>
          <w:sz w:val="22"/>
          <w:lang w:val="de-AT"/>
        </w:rPr>
      </w:pPr>
      <w:r w:rsidRPr="00806F17">
        <w:rPr>
          <w:rFonts w:asciiTheme="majorHAnsi" w:hAnsiTheme="majorHAnsi" w:cstheme="majorHAnsi"/>
          <w:sz w:val="22"/>
          <w:lang w:val="de-AT"/>
        </w:rPr>
        <w:t>Echter Dialog muss aber in Respekt voreinander geführt wer</w:t>
      </w:r>
      <w:r w:rsidR="00C82736" w:rsidRPr="00806F17">
        <w:rPr>
          <w:rFonts w:asciiTheme="majorHAnsi" w:hAnsiTheme="majorHAnsi" w:cstheme="majorHAnsi"/>
          <w:sz w:val="22"/>
          <w:lang w:val="de-AT"/>
        </w:rPr>
        <w:t>de</w:t>
      </w:r>
      <w:r w:rsidRPr="00806F17">
        <w:rPr>
          <w:rFonts w:asciiTheme="majorHAnsi" w:hAnsiTheme="majorHAnsi" w:cstheme="majorHAnsi"/>
          <w:sz w:val="22"/>
          <w:lang w:val="de-AT"/>
        </w:rPr>
        <w:t xml:space="preserve">n, ohne Ausklammerung negativer und schmerzhafter Entwicklungen, ohne Fixierungen auf historische </w:t>
      </w:r>
      <w:r w:rsidR="00C82736" w:rsidRPr="00806F17">
        <w:rPr>
          <w:rFonts w:asciiTheme="majorHAnsi" w:hAnsiTheme="majorHAnsi" w:cstheme="majorHAnsi"/>
          <w:sz w:val="22"/>
          <w:lang w:val="de-AT"/>
        </w:rPr>
        <w:t>Momentaufnahmen</w:t>
      </w:r>
      <w:r w:rsidRPr="00806F17">
        <w:rPr>
          <w:rFonts w:asciiTheme="majorHAnsi" w:hAnsiTheme="majorHAnsi" w:cstheme="majorHAnsi"/>
          <w:sz w:val="22"/>
          <w:lang w:val="de-AT"/>
        </w:rPr>
        <w:t xml:space="preserve"> oder Traditionen. Auch und gerade im Kontext der Religionsfreiheit gibt es keine Alterative zu diesem Dialog. Dabei wird für uns als Christen und doppelt auch als Europäer, geläutert durch 2000 Jahre Kirchen- und </w:t>
      </w:r>
      <w:r w:rsidRPr="00806F17">
        <w:rPr>
          <w:rFonts w:asciiTheme="majorHAnsi" w:hAnsiTheme="majorHAnsi" w:cstheme="majorHAnsi"/>
          <w:sz w:val="22"/>
          <w:lang w:val="de-AT"/>
        </w:rPr>
        <w:lastRenderedPageBreak/>
        <w:t xml:space="preserve">Staatsgeschichte, die Hochform der UN-Menschenrechtserklärung </w:t>
      </w:r>
      <w:r w:rsidR="005B1097" w:rsidRPr="00806F17">
        <w:rPr>
          <w:rFonts w:asciiTheme="majorHAnsi" w:hAnsiTheme="majorHAnsi" w:cstheme="majorHAnsi"/>
          <w:sz w:val="22"/>
          <w:lang w:val="de-AT"/>
        </w:rPr>
        <w:t xml:space="preserve">von 1948 </w:t>
      </w:r>
      <w:r w:rsidRPr="00806F17">
        <w:rPr>
          <w:rFonts w:asciiTheme="majorHAnsi" w:hAnsiTheme="majorHAnsi" w:cstheme="majorHAnsi"/>
          <w:sz w:val="22"/>
          <w:lang w:val="de-AT"/>
        </w:rPr>
        <w:t xml:space="preserve">immer Ziel- und Hoffnungsgebot bleiben. Zu hart haben wir uns diese Definition im Gleichgewicht von  Toleranz und Respekt erkämpft, als dass wir darauf wieder verzichten könnten. Aber so wie wir jede Verabsolutierung zu einer Diktatur der negativen Religionsfreiheit bei </w:t>
      </w:r>
      <w:r w:rsidR="00C82736" w:rsidRPr="00806F17">
        <w:rPr>
          <w:rFonts w:asciiTheme="majorHAnsi" w:hAnsiTheme="majorHAnsi" w:cstheme="majorHAnsi"/>
          <w:sz w:val="22"/>
          <w:lang w:val="de-AT"/>
        </w:rPr>
        <w:t>uns</w:t>
      </w:r>
      <w:r w:rsidRPr="00806F17">
        <w:rPr>
          <w:rFonts w:asciiTheme="majorHAnsi" w:hAnsiTheme="majorHAnsi" w:cstheme="majorHAnsi"/>
          <w:sz w:val="22"/>
          <w:lang w:val="de-AT"/>
        </w:rPr>
        <w:t xml:space="preserve"> bekämpfen und jede religiöse Diskriminierung aus religiösen Gründen abwehren müssen, so sollte uns auch klar sein, dass andere </w:t>
      </w:r>
      <w:r w:rsidR="00C82736" w:rsidRPr="00806F17">
        <w:rPr>
          <w:rFonts w:asciiTheme="majorHAnsi" w:hAnsiTheme="majorHAnsi" w:cstheme="majorHAnsi"/>
          <w:sz w:val="22"/>
          <w:lang w:val="de-AT"/>
        </w:rPr>
        <w:t>Kulturen</w:t>
      </w:r>
      <w:r w:rsidRPr="00806F17">
        <w:rPr>
          <w:rFonts w:asciiTheme="majorHAnsi" w:hAnsiTheme="majorHAnsi" w:cstheme="majorHAnsi"/>
          <w:sz w:val="22"/>
          <w:lang w:val="de-AT"/>
        </w:rPr>
        <w:t xml:space="preserve"> ihre</w:t>
      </w:r>
      <w:r w:rsidR="005B1097" w:rsidRPr="00806F17">
        <w:rPr>
          <w:rFonts w:asciiTheme="majorHAnsi" w:hAnsiTheme="majorHAnsi" w:cstheme="majorHAnsi"/>
          <w:sz w:val="22"/>
          <w:lang w:val="de-AT"/>
        </w:rPr>
        <w:t>n</w:t>
      </w:r>
      <w:r w:rsidRPr="00806F17">
        <w:rPr>
          <w:rFonts w:asciiTheme="majorHAnsi" w:hAnsiTheme="majorHAnsi" w:cstheme="majorHAnsi"/>
          <w:sz w:val="22"/>
          <w:lang w:val="de-AT"/>
        </w:rPr>
        <w:t xml:space="preserve"> eigene</w:t>
      </w:r>
      <w:r w:rsidR="005B1097" w:rsidRPr="00806F17">
        <w:rPr>
          <w:rFonts w:asciiTheme="majorHAnsi" w:hAnsiTheme="majorHAnsi" w:cstheme="majorHAnsi"/>
          <w:sz w:val="22"/>
          <w:lang w:val="de-AT"/>
        </w:rPr>
        <w:t>n</w:t>
      </w:r>
      <w:r w:rsidRPr="00806F17">
        <w:rPr>
          <w:rFonts w:asciiTheme="majorHAnsi" w:hAnsiTheme="majorHAnsi" w:cstheme="majorHAnsi"/>
          <w:sz w:val="22"/>
          <w:lang w:val="de-AT"/>
        </w:rPr>
        <w:t xml:space="preserve"> Weg, ihre eigene Geschwindigkeit und ihre eigene religiöse Identität in die Diskussion um die Religionsfreiheit mit einbringen. So werden wir wohl lernen müssen, dass unsere europäische Sicht der Religionsfreiheit nicht in der </w:t>
      </w:r>
      <w:proofErr w:type="spellStart"/>
      <w:r w:rsidRPr="00806F17">
        <w:rPr>
          <w:rFonts w:asciiTheme="majorHAnsi" w:hAnsiTheme="majorHAnsi" w:cstheme="majorHAnsi"/>
          <w:sz w:val="22"/>
          <w:lang w:val="de-AT"/>
        </w:rPr>
        <w:t>Vollform</w:t>
      </w:r>
      <w:proofErr w:type="spellEnd"/>
      <w:r w:rsidRPr="00806F17">
        <w:rPr>
          <w:rFonts w:asciiTheme="majorHAnsi" w:hAnsiTheme="majorHAnsi" w:cstheme="majorHAnsi"/>
          <w:sz w:val="22"/>
          <w:lang w:val="de-AT"/>
        </w:rPr>
        <w:t xml:space="preserve"> als "</w:t>
      </w:r>
      <w:r w:rsidR="00C82736" w:rsidRPr="00806F17">
        <w:rPr>
          <w:rFonts w:asciiTheme="majorHAnsi" w:hAnsiTheme="majorHAnsi" w:cstheme="majorHAnsi"/>
          <w:sz w:val="22"/>
          <w:lang w:val="de-AT"/>
        </w:rPr>
        <w:t>Friss</w:t>
      </w:r>
      <w:r w:rsidRPr="00806F17">
        <w:rPr>
          <w:rFonts w:asciiTheme="majorHAnsi" w:hAnsiTheme="majorHAnsi" w:cstheme="majorHAnsi"/>
          <w:sz w:val="22"/>
          <w:lang w:val="de-AT"/>
        </w:rPr>
        <w:t xml:space="preserve">- oder Stirb" Standard die Diskussion bestimmen darf. </w:t>
      </w:r>
      <w:r w:rsidR="00AF7C94" w:rsidRPr="00806F17">
        <w:rPr>
          <w:rFonts w:asciiTheme="majorHAnsi" w:hAnsiTheme="majorHAnsi" w:cstheme="majorHAnsi"/>
          <w:sz w:val="22"/>
          <w:lang w:val="de-AT"/>
        </w:rPr>
        <w:t>Nie aber</w:t>
      </w:r>
      <w:r w:rsidRPr="00806F17">
        <w:rPr>
          <w:rFonts w:asciiTheme="majorHAnsi" w:hAnsiTheme="majorHAnsi" w:cstheme="majorHAnsi"/>
          <w:sz w:val="22"/>
          <w:lang w:val="de-AT"/>
        </w:rPr>
        <w:t xml:space="preserve"> dürfen wir es unterlassen, den Dialog mit anderen Religionen und Kulturen über diese für uns unveräußerlichen Menschenrechte zu führen. Aber möglicherweise müssen wir ein wenig mehr Geduld und Respekt vor den Lernschritten anderer Religionen mitbringen. Dabei gilt es, das Erreichte zu sichern, das Visionäre nie aus den Augen zu lassen und ein wenig Demut in den Dialog </w:t>
      </w:r>
      <w:r w:rsidR="00C82736" w:rsidRPr="00806F17">
        <w:rPr>
          <w:rFonts w:asciiTheme="majorHAnsi" w:hAnsiTheme="majorHAnsi" w:cstheme="majorHAnsi"/>
          <w:sz w:val="22"/>
          <w:lang w:val="de-AT"/>
        </w:rPr>
        <w:t>mit einzubringen</w:t>
      </w:r>
      <w:r w:rsidRPr="00806F17">
        <w:rPr>
          <w:rFonts w:asciiTheme="majorHAnsi" w:hAnsiTheme="majorHAnsi" w:cstheme="majorHAnsi"/>
          <w:sz w:val="22"/>
          <w:lang w:val="de-AT"/>
        </w:rPr>
        <w:t xml:space="preserve"> angesichts von 2000 Jahren Lernphase, die wir bislang durchlebt haben und in denen wir noch lange nicht die Fülle der Weisheit und Weisung Jesu in unser gesellschaftliches Leben eingebracht haben. </w:t>
      </w:r>
    </w:p>
    <w:p w:rsidR="005B1097" w:rsidRPr="00806F17" w:rsidRDefault="005B1097" w:rsidP="00806F17">
      <w:pPr>
        <w:jc w:val="both"/>
        <w:rPr>
          <w:rFonts w:asciiTheme="majorHAnsi" w:hAnsiTheme="majorHAnsi" w:cstheme="majorHAnsi"/>
          <w:sz w:val="22"/>
          <w:lang w:val="de-AT"/>
        </w:rPr>
      </w:pPr>
    </w:p>
    <w:p w:rsidR="006009A0" w:rsidRPr="00806F17" w:rsidRDefault="001D7FEF" w:rsidP="00806F17">
      <w:pPr>
        <w:jc w:val="both"/>
        <w:rPr>
          <w:rFonts w:asciiTheme="majorHAnsi" w:hAnsiTheme="majorHAnsi" w:cstheme="majorHAnsi"/>
          <w:sz w:val="22"/>
          <w:lang w:val="de-AT"/>
        </w:rPr>
      </w:pPr>
      <w:r w:rsidRPr="00806F17">
        <w:rPr>
          <w:rFonts w:asciiTheme="majorHAnsi" w:hAnsiTheme="majorHAnsi" w:cstheme="majorHAnsi"/>
          <w:sz w:val="22"/>
          <w:lang w:val="de-AT"/>
        </w:rPr>
        <w:t xml:space="preserve">Lassen wir uns hinterfragen, wie glaubwürdig wir Christen in Europa angesichts unserer Goldenen Kälber der Wirtschaftszwänge und ungerechten </w:t>
      </w:r>
      <w:proofErr w:type="spellStart"/>
      <w:r w:rsidRPr="00806F17">
        <w:rPr>
          <w:rFonts w:asciiTheme="majorHAnsi" w:hAnsiTheme="majorHAnsi" w:cstheme="majorHAnsi"/>
          <w:sz w:val="22"/>
          <w:lang w:val="de-AT"/>
        </w:rPr>
        <w:t>Globalisierungmechanismen</w:t>
      </w:r>
      <w:proofErr w:type="spellEnd"/>
      <w:r w:rsidRPr="00806F17">
        <w:rPr>
          <w:rFonts w:asciiTheme="majorHAnsi" w:hAnsiTheme="majorHAnsi" w:cstheme="majorHAnsi"/>
          <w:sz w:val="22"/>
          <w:lang w:val="de-AT"/>
        </w:rPr>
        <w:t xml:space="preserve"> sind. Und stellen wir uns der Frage, welche Werte und Wertschätzungen für Frauen, Kinder, Schwache, Alte, Ungeborene und Ausländer wir </w:t>
      </w:r>
      <w:r w:rsidR="00AF7C94" w:rsidRPr="00806F17">
        <w:rPr>
          <w:rFonts w:asciiTheme="majorHAnsi" w:hAnsiTheme="majorHAnsi" w:cstheme="majorHAnsi"/>
          <w:sz w:val="22"/>
          <w:lang w:val="de-AT"/>
        </w:rPr>
        <w:t xml:space="preserve">in unserer Gesellschaft </w:t>
      </w:r>
      <w:bookmarkStart w:id="0" w:name="_GoBack"/>
      <w:bookmarkEnd w:id="0"/>
      <w:r w:rsidRPr="00806F17">
        <w:rPr>
          <w:rFonts w:asciiTheme="majorHAnsi" w:hAnsiTheme="majorHAnsi" w:cstheme="majorHAnsi"/>
          <w:sz w:val="22"/>
          <w:lang w:val="de-AT"/>
        </w:rPr>
        <w:t xml:space="preserve">noch vorzuweisen haben. Vielleicht bringt der Religions- und Kulturdialog ja auch uns ganz neue Erkenntnisse und Einsichten. Und vielleicht wird eines Tages doch die Bergpredigt zur </w:t>
      </w:r>
      <w:r w:rsidR="00C82736" w:rsidRPr="00806F17">
        <w:rPr>
          <w:rFonts w:asciiTheme="majorHAnsi" w:hAnsiTheme="majorHAnsi" w:cstheme="majorHAnsi"/>
          <w:sz w:val="22"/>
          <w:lang w:val="de-AT"/>
        </w:rPr>
        <w:t>Grundlage</w:t>
      </w:r>
      <w:r w:rsidRPr="00806F17">
        <w:rPr>
          <w:rFonts w:asciiTheme="majorHAnsi" w:hAnsiTheme="majorHAnsi" w:cstheme="majorHAnsi"/>
          <w:sz w:val="22"/>
          <w:lang w:val="de-AT"/>
        </w:rPr>
        <w:t xml:space="preserve"> unserer politischen Kultur werden.</w:t>
      </w:r>
    </w:p>
    <w:sectPr w:rsidR="006009A0" w:rsidRPr="00806F17" w:rsidSect="00CE7815">
      <w:footerReference w:type="default" r:id="rId8"/>
      <w:pgSz w:w="12240" w:h="15840"/>
      <w:pgMar w:top="1440" w:right="1440" w:bottom="1440" w:left="1440" w:header="720" w:footer="244" w:gutter="0"/>
      <w:cols w:sep="1"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BD3" w:rsidRDefault="00742BD3" w:rsidP="00C82736">
      <w:r>
        <w:separator/>
      </w:r>
    </w:p>
  </w:endnote>
  <w:endnote w:type="continuationSeparator" w:id="0">
    <w:p w:rsidR="00742BD3" w:rsidRDefault="00742BD3" w:rsidP="00C82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sz w:val="16"/>
        <w:szCs w:val="16"/>
      </w:rPr>
      <w:id w:val="5505385"/>
      <w:docPartObj>
        <w:docPartGallery w:val="Page Numbers (Bottom of Page)"/>
        <w:docPartUnique/>
      </w:docPartObj>
    </w:sdtPr>
    <w:sdtContent>
      <w:p w:rsidR="00972073" w:rsidRPr="00C82736" w:rsidRDefault="00972073">
        <w:pPr>
          <w:pStyle w:val="Fuzeile"/>
          <w:jc w:val="right"/>
          <w:rPr>
            <w:rFonts w:asciiTheme="majorHAnsi" w:hAnsiTheme="majorHAnsi" w:cstheme="majorHAnsi"/>
            <w:sz w:val="16"/>
            <w:szCs w:val="16"/>
            <w:lang w:val="de-AT"/>
          </w:rPr>
        </w:pPr>
        <w:r w:rsidRPr="00C82736">
          <w:rPr>
            <w:rFonts w:asciiTheme="majorHAnsi" w:hAnsiTheme="majorHAnsi" w:cstheme="majorHAnsi"/>
            <w:sz w:val="16"/>
            <w:szCs w:val="16"/>
            <w:lang w:val="de-AT"/>
          </w:rPr>
          <w:t xml:space="preserve">Religionsfreiheit als </w:t>
        </w:r>
        <w:proofErr w:type="spellStart"/>
        <w:r w:rsidRPr="00C82736">
          <w:rPr>
            <w:rFonts w:asciiTheme="majorHAnsi" w:hAnsiTheme="majorHAnsi" w:cstheme="majorHAnsi"/>
            <w:sz w:val="16"/>
            <w:szCs w:val="16"/>
            <w:lang w:val="de-AT"/>
          </w:rPr>
          <w:t>Menschenrecht_Elmar</w:t>
        </w:r>
        <w:proofErr w:type="spellEnd"/>
        <w:r w:rsidRPr="00C82736">
          <w:rPr>
            <w:rFonts w:asciiTheme="majorHAnsi" w:hAnsiTheme="majorHAnsi" w:cstheme="majorHAnsi"/>
            <w:sz w:val="16"/>
            <w:szCs w:val="16"/>
            <w:lang w:val="de-AT"/>
          </w:rPr>
          <w:t xml:space="preserve"> Kuhn</w:t>
        </w:r>
        <w:r>
          <w:rPr>
            <w:rFonts w:asciiTheme="majorHAnsi" w:hAnsiTheme="majorHAnsi" w:cstheme="majorHAnsi"/>
            <w:sz w:val="16"/>
            <w:szCs w:val="16"/>
            <w:lang w:val="de-AT"/>
          </w:rPr>
          <w:tab/>
        </w:r>
        <w:r w:rsidRPr="00C82736">
          <w:rPr>
            <w:rFonts w:asciiTheme="majorHAnsi" w:hAnsiTheme="majorHAnsi" w:cstheme="majorHAnsi"/>
            <w:sz w:val="16"/>
            <w:szCs w:val="16"/>
            <w:lang w:val="de-AT"/>
          </w:rPr>
          <w:tab/>
        </w:r>
        <w:r w:rsidR="00B06F08" w:rsidRPr="00C82736">
          <w:rPr>
            <w:rFonts w:asciiTheme="majorHAnsi" w:hAnsiTheme="majorHAnsi" w:cstheme="majorHAnsi"/>
            <w:sz w:val="16"/>
            <w:szCs w:val="16"/>
          </w:rPr>
          <w:fldChar w:fldCharType="begin"/>
        </w:r>
        <w:r w:rsidRPr="00C82736">
          <w:rPr>
            <w:rFonts w:asciiTheme="majorHAnsi" w:hAnsiTheme="majorHAnsi" w:cstheme="majorHAnsi"/>
            <w:sz w:val="16"/>
            <w:szCs w:val="16"/>
            <w:lang w:val="de-AT"/>
          </w:rPr>
          <w:instrText xml:space="preserve"> PAGE   \* MERGEFORMAT </w:instrText>
        </w:r>
        <w:r w:rsidR="00B06F08" w:rsidRPr="00C82736">
          <w:rPr>
            <w:rFonts w:asciiTheme="majorHAnsi" w:hAnsiTheme="majorHAnsi" w:cstheme="majorHAnsi"/>
            <w:sz w:val="16"/>
            <w:szCs w:val="16"/>
          </w:rPr>
          <w:fldChar w:fldCharType="separate"/>
        </w:r>
        <w:r w:rsidR="00806F17">
          <w:rPr>
            <w:rFonts w:asciiTheme="majorHAnsi" w:hAnsiTheme="majorHAnsi" w:cstheme="majorHAnsi"/>
            <w:noProof/>
            <w:sz w:val="16"/>
            <w:szCs w:val="16"/>
            <w:lang w:val="de-AT"/>
          </w:rPr>
          <w:t>4</w:t>
        </w:r>
        <w:r w:rsidR="00B06F08" w:rsidRPr="00C82736">
          <w:rPr>
            <w:rFonts w:asciiTheme="majorHAnsi" w:hAnsiTheme="majorHAnsi" w:cstheme="majorHAnsi"/>
            <w:sz w:val="16"/>
            <w:szCs w:val="16"/>
          </w:rPr>
          <w:fldChar w:fldCharType="end"/>
        </w:r>
      </w:p>
    </w:sdtContent>
  </w:sdt>
  <w:p w:rsidR="00972073" w:rsidRPr="00C82736" w:rsidRDefault="00972073">
    <w:pPr>
      <w:pStyle w:val="Fuzeile"/>
      <w:rPr>
        <w:lang w:val="de-A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BD3" w:rsidRDefault="00742BD3" w:rsidP="00C82736">
      <w:r>
        <w:separator/>
      </w:r>
    </w:p>
  </w:footnote>
  <w:footnote w:type="continuationSeparator" w:id="0">
    <w:p w:rsidR="00742BD3" w:rsidRDefault="00742BD3" w:rsidP="00C82736">
      <w:r>
        <w:continuationSeparator/>
      </w:r>
    </w:p>
  </w:footnote>
  <w:footnote w:id="1">
    <w:p w:rsidR="00972073" w:rsidRPr="00972073" w:rsidRDefault="00972073">
      <w:pPr>
        <w:pStyle w:val="Funotentext"/>
        <w:rPr>
          <w:rFonts w:asciiTheme="majorHAnsi" w:hAnsiTheme="majorHAnsi"/>
          <w:sz w:val="16"/>
          <w:szCs w:val="16"/>
        </w:rPr>
      </w:pPr>
      <w:r w:rsidRPr="00972073">
        <w:rPr>
          <w:rStyle w:val="Funotenzeichen"/>
          <w:rFonts w:asciiTheme="majorHAnsi" w:hAnsiTheme="majorHAnsi"/>
          <w:sz w:val="16"/>
          <w:szCs w:val="16"/>
        </w:rPr>
        <w:footnoteRef/>
      </w:r>
      <w:r w:rsidRPr="00972073">
        <w:rPr>
          <w:rFonts w:asciiTheme="majorHAnsi" w:hAnsiTheme="majorHAnsi"/>
          <w:sz w:val="16"/>
          <w:szCs w:val="16"/>
        </w:rPr>
        <w:t xml:space="preserve"> </w:t>
      </w:r>
      <w:proofErr w:type="spellStart"/>
      <w:r w:rsidRPr="00972073">
        <w:rPr>
          <w:rFonts w:asciiTheme="majorHAnsi" w:hAnsiTheme="majorHAnsi"/>
          <w:sz w:val="16"/>
          <w:szCs w:val="16"/>
        </w:rPr>
        <w:t>K.Popper</w:t>
      </w:r>
      <w:proofErr w:type="spellEnd"/>
      <w:r w:rsidRPr="00972073">
        <w:rPr>
          <w:rFonts w:asciiTheme="majorHAnsi" w:hAnsiTheme="majorHAnsi"/>
          <w:sz w:val="16"/>
          <w:szCs w:val="16"/>
        </w:rPr>
        <w:t xml:space="preserve">, in: </w:t>
      </w:r>
      <w:r w:rsidRPr="00972073">
        <w:rPr>
          <w:rFonts w:asciiTheme="majorHAnsi" w:hAnsiTheme="majorHAnsi" w:cs="Times"/>
          <w:iCs/>
          <w:sz w:val="16"/>
          <w:szCs w:val="16"/>
        </w:rPr>
        <w:t>Die offene Gesellschaft und ihre Feinde II. Falsche Propheten. Hegel, Marx und die Folgen</w:t>
      </w:r>
      <w:r>
        <w:rPr>
          <w:rFonts w:asciiTheme="majorHAnsi" w:hAnsiTheme="majorHAnsi" w:cs="Times"/>
          <w:sz w:val="16"/>
          <w:szCs w:val="16"/>
        </w:rPr>
        <w:t>. München, 1980</w:t>
      </w:r>
      <w:r>
        <w:rPr>
          <w:rFonts w:asciiTheme="majorHAnsi" w:hAnsiTheme="majorHAnsi" w:cs="Times"/>
          <w:sz w:val="16"/>
          <w:szCs w:val="16"/>
          <w:vertAlign w:val="superscript"/>
        </w:rPr>
        <w:t>6</w:t>
      </w:r>
      <w:r>
        <w:rPr>
          <w:rFonts w:asciiTheme="majorHAnsi" w:hAnsiTheme="majorHAnsi" w:cs="Times"/>
          <w:sz w:val="16"/>
          <w:szCs w:val="16"/>
        </w:rPr>
        <w:t xml:space="preserve">, </w:t>
      </w:r>
      <w:r w:rsidR="0026637A">
        <w:rPr>
          <w:rFonts w:asciiTheme="majorHAnsi" w:hAnsiTheme="majorHAnsi" w:cs="Times"/>
          <w:sz w:val="16"/>
          <w:szCs w:val="16"/>
        </w:rPr>
        <w:t>291f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0159D"/>
    <w:multiLevelType w:val="hybridMultilevel"/>
    <w:tmpl w:val="C51085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8158DC"/>
    <w:rsid w:val="0009133E"/>
    <w:rsid w:val="000E234B"/>
    <w:rsid w:val="001430A3"/>
    <w:rsid w:val="001D7FEF"/>
    <w:rsid w:val="00264216"/>
    <w:rsid w:val="0026637A"/>
    <w:rsid w:val="005B1097"/>
    <w:rsid w:val="006009A0"/>
    <w:rsid w:val="00742BD3"/>
    <w:rsid w:val="00806F17"/>
    <w:rsid w:val="008158DC"/>
    <w:rsid w:val="008723AC"/>
    <w:rsid w:val="008D2114"/>
    <w:rsid w:val="00972073"/>
    <w:rsid w:val="00AF7C94"/>
    <w:rsid w:val="00B06F08"/>
    <w:rsid w:val="00B14F87"/>
    <w:rsid w:val="00B936A4"/>
    <w:rsid w:val="00C82736"/>
    <w:rsid w:val="00C91AFD"/>
    <w:rsid w:val="00CE7815"/>
    <w:rsid w:val="00F558F1"/>
  </w:rsids>
  <m:mathPr>
    <m:mathFont m:val="Cambria Math"/>
    <m:brkBin m:val="before"/>
    <m:brkBinSub m:val="--"/>
    <m:smallFrac m:val="off"/>
    <m:dispDef m:val="off"/>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6F0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82736"/>
    <w:pPr>
      <w:tabs>
        <w:tab w:val="center" w:pos="4536"/>
        <w:tab w:val="right" w:pos="9072"/>
      </w:tabs>
    </w:pPr>
  </w:style>
  <w:style w:type="character" w:customStyle="1" w:styleId="KopfzeileZchn">
    <w:name w:val="Kopfzeile Zchn"/>
    <w:basedOn w:val="Absatz-Standardschriftart"/>
    <w:link w:val="Kopfzeile"/>
    <w:uiPriority w:val="99"/>
    <w:semiHidden/>
    <w:rsid w:val="00C82736"/>
  </w:style>
  <w:style w:type="paragraph" w:styleId="Fuzeile">
    <w:name w:val="footer"/>
    <w:basedOn w:val="Standard"/>
    <w:link w:val="FuzeileZchn"/>
    <w:uiPriority w:val="99"/>
    <w:unhideWhenUsed/>
    <w:rsid w:val="00C82736"/>
    <w:pPr>
      <w:tabs>
        <w:tab w:val="center" w:pos="4536"/>
        <w:tab w:val="right" w:pos="9072"/>
      </w:tabs>
    </w:pPr>
  </w:style>
  <w:style w:type="character" w:customStyle="1" w:styleId="FuzeileZchn">
    <w:name w:val="Fußzeile Zchn"/>
    <w:basedOn w:val="Absatz-Standardschriftart"/>
    <w:link w:val="Fuzeile"/>
    <w:uiPriority w:val="99"/>
    <w:rsid w:val="00C82736"/>
  </w:style>
  <w:style w:type="paragraph" w:styleId="Listenabsatz">
    <w:name w:val="List Paragraph"/>
    <w:basedOn w:val="Standard"/>
    <w:uiPriority w:val="34"/>
    <w:qFormat/>
    <w:rsid w:val="00CE7815"/>
    <w:pPr>
      <w:ind w:left="720"/>
      <w:contextualSpacing/>
    </w:pPr>
  </w:style>
  <w:style w:type="table" w:styleId="Tabellengitternetz">
    <w:name w:val="Table Grid"/>
    <w:basedOn w:val="NormaleTabelle"/>
    <w:uiPriority w:val="59"/>
    <w:rsid w:val="00972073"/>
    <w:rPr>
      <w:rFonts w:eastAsiaTheme="minorHAnsi"/>
      <w:sz w:val="22"/>
      <w:szCs w:val="22"/>
      <w:lang w:val="de-A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unhideWhenUsed/>
    <w:rsid w:val="00972073"/>
  </w:style>
  <w:style w:type="character" w:customStyle="1" w:styleId="FunotentextZchn">
    <w:name w:val="Fußnotentext Zchn"/>
    <w:basedOn w:val="Absatz-Standardschriftart"/>
    <w:link w:val="Funotentext"/>
    <w:uiPriority w:val="99"/>
    <w:rsid w:val="00972073"/>
  </w:style>
  <w:style w:type="character" w:styleId="Funotenzeichen">
    <w:name w:val="footnote reference"/>
    <w:basedOn w:val="Absatz-Standardschriftart"/>
    <w:uiPriority w:val="99"/>
    <w:unhideWhenUsed/>
    <w:rsid w:val="0097207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unhideWhenUsed/>
    <w:rsid w:val="00C82736"/>
    <w:pPr>
      <w:tabs>
        <w:tab w:val="center" w:pos="4536"/>
        <w:tab w:val="right" w:pos="9072"/>
      </w:tabs>
    </w:pPr>
  </w:style>
  <w:style w:type="character" w:customStyle="1" w:styleId="KopfzeileZeichen">
    <w:name w:val="Kopfzeile Zeichen"/>
    <w:basedOn w:val="Absatzstandardschriftart"/>
    <w:link w:val="Kopfzeile"/>
    <w:uiPriority w:val="99"/>
    <w:semiHidden/>
    <w:rsid w:val="00C82736"/>
  </w:style>
  <w:style w:type="paragraph" w:styleId="Fuzeile">
    <w:name w:val="footer"/>
    <w:basedOn w:val="Standard"/>
    <w:link w:val="FuzeileZeichen"/>
    <w:uiPriority w:val="99"/>
    <w:unhideWhenUsed/>
    <w:rsid w:val="00C82736"/>
    <w:pPr>
      <w:tabs>
        <w:tab w:val="center" w:pos="4536"/>
        <w:tab w:val="right" w:pos="9072"/>
      </w:tabs>
    </w:pPr>
  </w:style>
  <w:style w:type="character" w:customStyle="1" w:styleId="FuzeileZeichen">
    <w:name w:val="Fußzeile Zeichen"/>
    <w:basedOn w:val="Absatzstandardschriftart"/>
    <w:link w:val="Fuzeile"/>
    <w:uiPriority w:val="99"/>
    <w:rsid w:val="00C82736"/>
  </w:style>
  <w:style w:type="paragraph" w:styleId="Listenabsatz">
    <w:name w:val="List Paragraph"/>
    <w:basedOn w:val="Standard"/>
    <w:uiPriority w:val="34"/>
    <w:qFormat/>
    <w:rsid w:val="00CE7815"/>
    <w:pPr>
      <w:ind w:left="720"/>
      <w:contextualSpacing/>
    </w:pPr>
  </w:style>
  <w:style w:type="table" w:styleId="Tabellenraster">
    <w:name w:val="Table Grid"/>
    <w:basedOn w:val="NormaleTabelle"/>
    <w:uiPriority w:val="59"/>
    <w:rsid w:val="00972073"/>
    <w:rPr>
      <w:rFonts w:eastAsiaTheme="minorHAnsi"/>
      <w:sz w:val="22"/>
      <w:szCs w:val="22"/>
      <w:lang w:val="de-A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eichen"/>
    <w:uiPriority w:val="99"/>
    <w:unhideWhenUsed/>
    <w:rsid w:val="00972073"/>
  </w:style>
  <w:style w:type="character" w:customStyle="1" w:styleId="FunotentextZeichen">
    <w:name w:val="Fußnotentext Zeichen"/>
    <w:basedOn w:val="Absatzstandardschriftart"/>
    <w:link w:val="Funotentext"/>
    <w:uiPriority w:val="99"/>
    <w:rsid w:val="00972073"/>
  </w:style>
  <w:style w:type="character" w:styleId="Funotenzeichen">
    <w:name w:val="footnote reference"/>
    <w:basedOn w:val="Absatzstandardschriftart"/>
    <w:uiPriority w:val="99"/>
    <w:unhideWhenUsed/>
    <w:rsid w:val="00972073"/>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DD26F-410E-4574-B3F4-93BC2828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1874</Words>
  <Characters>11808</Characters>
  <Application>Microsoft Office Word</Application>
  <DocSecurity>0</DocSecurity>
  <Lines>98</Lines>
  <Paragraphs>27</Paragraphs>
  <ScaleCrop>false</ScaleCrop>
  <Company>Frost-RL</Company>
  <LinksUpToDate>false</LinksUpToDate>
  <CharactersWithSpaces>13655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KuhnEl</cp:lastModifiedBy>
  <cp:revision>12</cp:revision>
  <dcterms:created xsi:type="dcterms:W3CDTF">2012-10-19T18:44:00Z</dcterms:created>
  <dcterms:modified xsi:type="dcterms:W3CDTF">2013-03-20T11:11:00Z</dcterms:modified>
</cp:coreProperties>
</file>